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spacing w:before="120" w:beforeAutospacing="0" w:after="120" w:afterAutospacing="0" w:line="360" w:lineRule="auto"/>
        <w:rPr>
          <w:color w:val="auto"/>
          <w:highlight w:val="none"/>
        </w:rPr>
      </w:pPr>
      <w:r>
        <w:rPr>
          <w:color w:val="auto"/>
          <w:highlight w:val="none"/>
        </w:rPr>
        <w:t xml:space="preserve"> </w:t>
      </w:r>
      <w:r/>
    </w:p>
    <w:p>
      <w:pPr>
        <w:pStyle w:val="887"/>
        <w:spacing w:before="120" w:beforeAutospacing="0" w:after="120" w:afterAutospacing="0" w:line="360" w:lineRule="auto"/>
        <w:rPr>
          <w:color w:val="auto"/>
          <w:highlight w:val="none"/>
        </w:rPr>
      </w:pPr>
      <w:r>
        <w:rPr>
          <w:color w:val="auto"/>
          <w:highlight w:val="none"/>
        </w:rPr>
      </w:r>
      <w:r/>
    </w:p>
    <w:p>
      <w:pPr>
        <w:pStyle w:val="887"/>
        <w:jc w:val="center"/>
        <w:keepLines w:val="0"/>
        <w:keepNext w:val="0"/>
        <w:pageBreakBefore w:val="0"/>
        <w:spacing w:before="120" w:beforeAutospacing="0" w:after="120" w:afterAutospacing="0" w:line="288" w:lineRule="auto"/>
        <w:widowControl w:val="off"/>
        <w:rPr>
          <w:rFonts w:ascii="Arial" w:hAnsi="Arial" w:cs="Arial"/>
          <w:b/>
          <w:color w:val="auto"/>
          <w:sz w:val="84"/>
          <w:szCs w:val="84"/>
          <w:highlight w:val="none"/>
        </w:rPr>
      </w:pPr>
      <w:r>
        <w:rPr>
          <w:rFonts w:ascii="Arial" w:hAnsi="Arial" w:cs="Arial"/>
          <w:b/>
          <w:color w:val="auto"/>
          <w:sz w:val="84"/>
          <w:szCs w:val="84"/>
          <w:highlight w:val="none"/>
        </w:rPr>
        <w:t xml:space="preserve">竞争性磋商文件</w:t>
      </w:r>
      <w:r/>
    </w:p>
    <w:p>
      <w:pPr>
        <w:pStyle w:val="887"/>
        <w:jc w:val="center"/>
        <w:spacing w:before="120" w:beforeAutospacing="0" w:after="120" w:afterAutospacing="0" w:line="360" w:lineRule="auto"/>
        <w:rPr>
          <w:rFonts w:hint="eastAsia" w:ascii="Arial" w:hAnsi="Arial" w:cs="Arial" w:eastAsiaTheme="minorEastAsia"/>
          <w:b/>
          <w:color w:val="auto"/>
          <w:sz w:val="52"/>
          <w:szCs w:val="52"/>
          <w:highlight w:val="none"/>
          <w:lang w:eastAsia="zh-CN"/>
        </w:rPr>
      </w:pPr>
      <w:r>
        <w:rPr>
          <w:rFonts w:hint="eastAsia" w:ascii="Arial" w:hAnsi="Arial" w:cs="Arial" w:eastAsiaTheme="minorEastAsia"/>
          <w:b/>
          <w:color w:val="auto"/>
          <w:sz w:val="52"/>
          <w:szCs w:val="52"/>
          <w:highlight w:val="none"/>
          <w:lang w:eastAsia="zh-CN"/>
        </w:rPr>
      </w:r>
      <w:r/>
    </w:p>
    <w:p>
      <w:pPr>
        <w:pStyle w:val="887"/>
        <w:ind w:left="0" w:firstLine="0"/>
        <w:jc w:val="both"/>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87"/>
        <w:ind w:left="0" w:firstLine="0"/>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87"/>
        <w:ind w:left="1807" w:hanging="1807"/>
        <w:jc w:val="center"/>
        <w:spacing w:before="120" w:beforeAutospacing="0" w:after="120" w:afterAutospacing="0"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lang w:eastAsia="zh-CN"/>
        </w:rPr>
        <w:t xml:space="preserve">射阳县住房和城乡建设局2025年超长期特别国债项目审计服务咨询</w:t>
      </w:r>
      <w:r/>
    </w:p>
    <w:p>
      <w:pPr>
        <w:pStyle w:val="887"/>
        <w:ind w:left="0" w:firstLine="0"/>
        <w:jc w:val="left"/>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项目编号：JSZC-320924-HTGC-C2026-0001</w:t>
      </w:r>
      <w:r/>
    </w:p>
    <w:p>
      <w:pPr>
        <w:pStyle w:val="887"/>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87"/>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87"/>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87"/>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87"/>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87"/>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75"/>
        <w:ind w:left="0" w:firstLine="0"/>
        <w:jc w:val="center"/>
        <w:rPr>
          <w:rFonts w:hint="eastAsia" w:ascii="宋体" w:hAnsi="宋体" w:eastAsia="宋体" w:cs="宋体"/>
          <w:b/>
          <w:sz w:val="36"/>
          <w:szCs w:val="36"/>
          <w:highlight w:val="none"/>
          <w:lang w:eastAsia="zh-CN"/>
        </w:rPr>
      </w:pPr>
      <w:r>
        <w:rPr>
          <w:rFonts w:hint="eastAsia" w:ascii="宋体" w:hAnsi="宋体" w:eastAsia="宋体" w:cs="宋体"/>
          <w:b/>
          <w:spacing w:val="18"/>
          <w:sz w:val="36"/>
          <w:szCs w:val="36"/>
          <w:highlight w:val="none"/>
          <w:lang w:eastAsia="zh-CN"/>
        </w:rPr>
        <w:t xml:space="preserve">射阳县住房和城乡建设</w:t>
      </w:r>
      <w:r>
        <w:rPr>
          <w:rFonts w:hint="eastAsia" w:ascii="宋体" w:hAnsi="宋体" w:eastAsia="宋体" w:cs="宋体"/>
          <w:b/>
          <w:spacing w:val="0"/>
          <w:sz w:val="36"/>
          <w:szCs w:val="36"/>
          <w:highlight w:val="none"/>
          <w:lang w:eastAsia="zh-CN"/>
        </w:rPr>
        <w:t xml:space="preserve">局</w:t>
      </w:r>
      <w:r/>
    </w:p>
    <w:p>
      <w:pPr>
        <w:pStyle w:val="875"/>
        <w:ind w:left="0" w:firstLine="0"/>
        <w:jc w:val="center"/>
        <w:rPr>
          <w:rFonts w:hint="eastAsia" w:ascii="宋体" w:hAnsi="宋体" w:eastAsia="宋体" w:cs="宋体"/>
          <w:highlight w:val="none"/>
          <w:lang w:eastAsia="zh-CN"/>
        </w:rPr>
      </w:pPr>
      <w:r>
        <w:rPr>
          <w:rFonts w:hint="eastAsia" w:ascii="宋体" w:hAnsi="宋体" w:eastAsia="宋体" w:cs="宋体"/>
          <w:b/>
          <w:sz w:val="36"/>
          <w:szCs w:val="36"/>
          <w:highlight w:val="none"/>
          <w:lang w:eastAsia="zh-CN"/>
        </w:rPr>
        <w:t xml:space="preserve">江苏宏天工程管理有限公司</w:t>
      </w:r>
      <w:r/>
    </w:p>
    <w:p>
      <w:pPr>
        <w:pStyle w:val="888"/>
        <w:ind w:firstLine="0"/>
        <w:jc w:val="center"/>
        <w:rPr>
          <w:rFonts w:hint="eastAsia" w:ascii="宋体" w:hAnsi="宋体" w:eastAsia="宋体" w:cs="宋体"/>
          <w:b/>
          <w:sz w:val="44"/>
          <w:highlight w:val="none"/>
        </w:rPr>
      </w:pPr>
      <w:r>
        <w:rPr>
          <w:rFonts w:hint="eastAsia" w:ascii="宋体" w:hAnsi="宋体" w:eastAsia="宋体" w:cs="宋体"/>
          <w:b/>
          <w:sz w:val="36"/>
          <w:szCs w:val="36"/>
          <w:highlight w:val="none"/>
        </w:rPr>
        <w:t xml:space="preserve">202</w:t>
      </w:r>
      <w:r>
        <w:rPr>
          <w:rFonts w:hint="eastAsia" w:ascii="宋体" w:hAnsi="宋体" w:eastAsia="宋体" w:cs="宋体"/>
          <w:b/>
          <w:sz w:val="36"/>
          <w:szCs w:val="36"/>
          <w:highlight w:val="none"/>
          <w:lang w:val="en-US" w:eastAsia="zh-CN"/>
        </w:rPr>
        <w:t xml:space="preserve">6</w:t>
      </w:r>
      <w:r>
        <w:rPr>
          <w:rFonts w:hint="eastAsia" w:ascii="宋体" w:hAnsi="宋体" w:eastAsia="宋体" w:cs="宋体"/>
          <w:b/>
          <w:sz w:val="36"/>
          <w:szCs w:val="36"/>
          <w:highlight w:val="none"/>
        </w:rPr>
        <w:t xml:space="preserve">年</w:t>
      </w:r>
      <w:r>
        <w:rPr>
          <w:rFonts w:hint="eastAsia" w:ascii="宋体" w:hAnsi="宋体" w:eastAsia="宋体" w:cs="宋体"/>
          <w:b/>
          <w:sz w:val="36"/>
          <w:szCs w:val="36"/>
          <w:highlight w:val="none"/>
          <w:lang w:val="en-US" w:eastAsia="zh-CN"/>
        </w:rPr>
        <w:t xml:space="preserve">1</w:t>
      </w:r>
      <w:r>
        <w:rPr>
          <w:rFonts w:hint="eastAsia" w:ascii="宋体" w:hAnsi="宋体" w:eastAsia="宋体" w:cs="宋体"/>
          <w:b/>
          <w:sz w:val="36"/>
          <w:szCs w:val="36"/>
          <w:highlight w:val="none"/>
        </w:rPr>
        <w:t xml:space="preserve">月</w:t>
      </w:r>
      <w:r/>
    </w:p>
    <w:p>
      <w:pPr>
        <w:pStyle w:val="887"/>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87"/>
        <w:jc w:val="center"/>
        <w:spacing w:before="120" w:beforeAutospacing="0" w:after="120" w:afterAutospacing="0" w:line="360" w:lineRule="auto"/>
        <w:rPr>
          <w:color w:val="auto"/>
          <w:highlight w:val="none"/>
        </w:rPr>
      </w:pPr>
      <w:r>
        <w:rPr>
          <w:color w:val="auto"/>
          <w:highlight w:val="none"/>
        </w:rPr>
        <w:t xml:space="preserve"> </w:t>
      </w:r>
      <w:r/>
    </w:p>
    <w:p>
      <w:pPr>
        <w:pStyle w:val="887"/>
        <w:jc w:val="center"/>
        <w:spacing w:beforeAutospacing="0" w:afterAutospacing="0" w:line="480" w:lineRule="auto"/>
        <w:rPr>
          <w:rFonts w:ascii="Times New Roman" w:hAnsi="Times New Roman"/>
          <w:color w:val="auto"/>
          <w:sz w:val="21"/>
          <w:szCs w:val="21"/>
          <w:highlight w:val="none"/>
        </w:rPr>
        <w:sectPr>
          <w:headerReference w:type="default" r:id="rId9"/>
          <w:footerReference w:type="default" r:id="rId10"/>
          <w:footnotePr/>
          <w:endnotePr/>
          <w:type w:val="nextPage"/>
          <w:pgSz w:w="11906" w:h="16838" w:orient="portrait"/>
          <w:pgMar w:top="1417" w:right="1361" w:bottom="1417" w:left="1418" w:header="624" w:footer="992" w:gutter="0"/>
          <w:cols w:num="1" w:sep="0" w:space="720" w:equalWidth="1"/>
          <w:docGrid w:linePitch="360"/>
        </w:sectPr>
      </w:pPr>
      <w:r>
        <w:rPr>
          <w:rFonts w:ascii="Times New Roman" w:hAnsi="Times New Roman"/>
          <w:color w:val="auto"/>
          <w:sz w:val="21"/>
          <w:szCs w:val="21"/>
          <w:highlight w:val="none"/>
        </w:rPr>
      </w:r>
      <w:r/>
    </w:p>
    <w:p>
      <w:pPr>
        <w:pStyle w:val="887"/>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120614210"/>
      <w:r/>
      <w:bookmarkStart w:id="1" w:name="_Toc16938516"/>
      <w:r/>
      <w:bookmarkStart w:id="2" w:name="_Toc513029200"/>
      <w:r/>
      <w:bookmarkStart w:id="3" w:name="_Toc479757206"/>
      <w:r/>
      <w:bookmarkStart w:id="4" w:name="_Toc20823272"/>
      <w:r/>
      <w:bookmarkStart w:id="5" w:name="_Toc523127445"/>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87"/>
        <w:jc w:val="both"/>
        <w:spacing w:beforeAutospacing="0" w:afterAutospacing="0" w:line="480" w:lineRule="auto"/>
        <w:rPr>
          <w:color w:val="auto"/>
          <w:highlight w:val="none"/>
        </w:rPr>
      </w:pPr>
      <w:r>
        <w:rPr>
          <w:color w:val="auto"/>
          <w:highlight w:val="none"/>
        </w:rPr>
        <w:t xml:space="preserve"> </w:t>
      </w:r>
      <w:r/>
    </w:p>
    <w:p>
      <w:pPr>
        <w:pStyle w:val="887"/>
        <w:ind w:left="2160" w:hanging="1440"/>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竞争性磋商公告</w:t>
      </w:r>
      <w:r>
        <w:rPr>
          <w:rFonts w:hint="eastAsia" w:ascii="黑体" w:hAnsi="宋体" w:eastAsia="黑体" w:cs="黑体"/>
          <w:color w:val="auto"/>
          <w:sz w:val="36"/>
          <w:szCs w:val="36"/>
          <w:highlight w:val="none"/>
        </w:rPr>
        <w:t xml:space="preserve">………………………</w:t>
      </w:r>
      <w:bookmarkStart w:id="6" w:name="OLE_LINK9"/>
      <w:r>
        <w:rPr>
          <w:rFonts w:hint="eastAsia" w:ascii="黑体" w:hAnsi="宋体" w:eastAsia="黑体" w:cs="黑体"/>
          <w:color w:val="auto"/>
          <w:sz w:val="36"/>
          <w:szCs w:val="36"/>
          <w:highlight w:val="none"/>
        </w:rPr>
        <w:t xml:space="preserve">…</w:t>
      </w:r>
      <w:bookmarkEnd w:id="6"/>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w:t>
      </w:r>
      <w:r/>
    </w:p>
    <w:p>
      <w:pPr>
        <w:pStyle w:val="887"/>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w:t>
      </w:r>
      <w:r>
        <w:rPr>
          <w:rFonts w:hint="eastAsia" w:ascii="黑体" w:hAnsi="宋体" w:eastAsia="黑体" w:cs="黑体"/>
          <w:color w:val="auto"/>
          <w:sz w:val="36"/>
          <w:szCs w:val="36"/>
          <w:highlight w:val="none"/>
          <w:lang w:val="en-US" w:eastAsia="zh-CN"/>
        </w:rPr>
        <w:t xml:space="preserve">5</w:t>
      </w:r>
      <w:r>
        <w:rPr>
          <w:rFonts w:hint="eastAsia" w:ascii="黑体" w:hAnsi="宋体" w:eastAsia="黑体" w:cs="黑体"/>
          <w:color w:val="auto"/>
          <w:sz w:val="36"/>
          <w:szCs w:val="36"/>
          <w:highlight w:val="none"/>
        </w:rPr>
        <w:t xml:space="preserve">  </w:t>
      </w:r>
      <w:r/>
    </w:p>
    <w:p>
      <w:pPr>
        <w:pStyle w:val="887"/>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20</w:t>
      </w:r>
      <w:r/>
    </w:p>
    <w:p>
      <w:pPr>
        <w:pStyle w:val="887"/>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25</w:t>
      </w:r>
      <w:r/>
    </w:p>
    <w:p>
      <w:pPr>
        <w:pStyle w:val="887"/>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评审方法与评审标准………………………</w:t>
      </w:r>
      <w:r>
        <w:rPr>
          <w:rFonts w:hint="eastAsia" w:ascii="黑体" w:hAnsi="宋体" w:eastAsia="黑体" w:cs="黑体"/>
          <w:color w:val="auto"/>
          <w:sz w:val="36"/>
          <w:szCs w:val="36"/>
          <w:highlight w:val="none"/>
          <w:lang w:val="en-US" w:eastAsia="zh-CN"/>
        </w:rPr>
        <w:t xml:space="preserve">27</w:t>
      </w:r>
      <w:r/>
    </w:p>
    <w:p>
      <w:pPr>
        <w:pStyle w:val="887"/>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响应文件格式………………………………</w:t>
      </w:r>
      <w:r>
        <w:rPr>
          <w:rFonts w:hint="eastAsia" w:ascii="黑体" w:hAnsi="宋体" w:eastAsia="黑体" w:cs="黑体"/>
          <w:color w:val="auto"/>
          <w:sz w:val="36"/>
          <w:szCs w:val="36"/>
          <w:highlight w:val="none"/>
          <w:lang w:val="en-US" w:eastAsia="zh-CN"/>
        </w:rPr>
        <w:t xml:space="preserve">31</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r>
      <w:r/>
    </w:p>
    <w:p>
      <w:pPr>
        <w:pStyle w:val="887"/>
        <w:jc w:val="both"/>
        <w:spacing w:beforeAutospacing="0" w:afterAutospacing="0"/>
        <w:rPr>
          <w:color w:val="auto"/>
          <w:highlight w:val="none"/>
        </w:rPr>
      </w:pPr>
      <w:r>
        <w:rPr>
          <w:color w:val="auto"/>
          <w:highlight w:val="none"/>
        </w:rPr>
      </w:r>
      <w:r/>
    </w:p>
    <w:p>
      <w:pPr>
        <w:pStyle w:val="887"/>
        <w:jc w:val="both"/>
        <w:spacing w:beforeAutospacing="0" w:afterAutospacing="0"/>
        <w:rPr>
          <w:color w:val="auto"/>
          <w:highlight w:val="none"/>
        </w:rPr>
      </w:pPr>
      <w:r>
        <w:rPr>
          <w:color w:val="auto"/>
          <w:highlight w:val="none"/>
        </w:rPr>
      </w:r>
      <w:r/>
    </w:p>
    <w:p>
      <w:pPr>
        <w:pStyle w:val="887"/>
        <w:jc w:val="both"/>
        <w:spacing w:beforeAutospacing="0" w:afterAutospacing="0"/>
        <w:rPr>
          <w:color w:val="auto"/>
          <w:highlight w:val="none"/>
        </w:rPr>
      </w:pPr>
      <w:r>
        <w:rPr>
          <w:color w:val="auto"/>
          <w:highlight w:val="none"/>
        </w:rPr>
      </w:r>
      <w:r/>
    </w:p>
    <w:p>
      <w:pPr>
        <w:pStyle w:val="887"/>
        <w:jc w:val="both"/>
        <w:spacing w:beforeAutospacing="0" w:afterAutospacing="0"/>
        <w:rPr>
          <w:color w:val="auto"/>
          <w:highlight w:val="none"/>
        </w:rPr>
      </w:pPr>
      <w:r>
        <w:rPr>
          <w:color w:val="auto"/>
          <w:highlight w:val="none"/>
        </w:rPr>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r/>
      <w:r/>
      <w:r/>
      <w:r>
        <w:rPr>
          <w:color w:val="auto"/>
          <w:highlight w:val="none"/>
        </w:rPr>
      </w:r>
      <w:r/>
      <w:bookmarkStart w:id="7"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竞争性磋商公告</w:t>
      </w:r>
      <w:r/>
      <w:r>
        <w:rPr>
          <w:color w:val="auto"/>
          <w:highlight w:val="none"/>
        </w:rPr>
      </w:r>
    </w:p>
    <w:p>
      <w:pPr>
        <w:pStyle w:val="887"/>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87"/>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val="en-US" w:eastAsia="zh-CN"/>
        </w:rPr>
        <w:t xml:space="preserve">射阳县住房和城乡建设局2025年超长期特别国债项目审计服务咨询</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文件，方</w:t>
      </w:r>
      <w:r>
        <w:rPr>
          <w:rFonts w:hint="eastAsia" w:ascii="宋体" w:hAnsi="宋体" w:eastAsia="宋体" w:cs="宋体"/>
          <w:i w:val="0"/>
          <w:iCs w:val="0"/>
          <w:caps w:val="0"/>
          <w:color w:val="auto"/>
          <w:spacing w:val="0"/>
          <w:sz w:val="24"/>
          <w:szCs w:val="24"/>
          <w:highlight w:val="none"/>
          <w:shd w:val="clear" w:color="auto" w:fill="ffffff"/>
        </w:rPr>
        <w:t xml:space="preserve">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b w:val="0"/>
          <w:bCs w:val="0"/>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27</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北京时间）前递交响应文件。</w:t>
      </w:r>
      <w:r/>
    </w:p>
    <w:p>
      <w:pPr>
        <w:pStyle w:val="887"/>
        <w:ind w:firstLine="482"/>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8" w:name="_Toc35393621"/>
      <w:r/>
      <w:bookmarkStart w:id="9" w:name="_Hlk24379207"/>
      <w:r/>
      <w:bookmarkStart w:id="10" w:name="_Toc28359079"/>
      <w:r/>
      <w:bookmarkStart w:id="11" w:name="_Toc28359002"/>
      <w:r/>
      <w:bookmarkStart w:id="12" w:name="_Toc38985263"/>
      <w:r/>
      <w:bookmarkStart w:id="13" w:name="_Toc35393790"/>
      <w:r>
        <w:rPr>
          <w:rFonts w:hint="eastAsia" w:ascii="宋体" w:hAnsi="宋体" w:eastAsia="宋体" w:cs="宋体"/>
          <w:b/>
          <w:color w:val="auto"/>
          <w:sz w:val="24"/>
          <w:szCs w:val="24"/>
          <w:highlight w:val="none"/>
        </w:rPr>
        <w:t xml:space="preserve">一、项目基本情况</w:t>
      </w:r>
      <w:bookmarkEnd w:id="8"/>
      <w:r/>
      <w:bookmarkEnd w:id="9"/>
      <w:r/>
      <w:bookmarkEnd w:id="10"/>
      <w:r/>
      <w:bookmarkEnd w:id="11"/>
      <w:r/>
      <w:bookmarkEnd w:id="12"/>
      <w:r/>
      <w:bookmarkEnd w:id="13"/>
      <w:r/>
      <w:r/>
    </w:p>
    <w:p>
      <w:pPr>
        <w:pStyle w:val="887"/>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1.项目编号：JSZC-320924-HTGC-C2026-0001</w:t>
      </w:r>
      <w:r/>
    </w:p>
    <w:p>
      <w:pPr>
        <w:pStyle w:val="887"/>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射阳县住房和城乡建设局2025年超长期特别国债项目审计服务咨询</w:t>
      </w:r>
      <w:r/>
    </w:p>
    <w:p>
      <w:pPr>
        <w:pStyle w:val="887"/>
        <w:ind w:firstLine="480"/>
        <w:jc w:val="both"/>
        <w:keepLines w:val="0"/>
        <w:keepNext w:val="0"/>
        <w:pageBreakBefore w:val="0"/>
        <w:spacing w:beforeAutospacing="0"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采购方式：竞争性磋商</w:t>
      </w:r>
      <w:r/>
    </w:p>
    <w:p>
      <w:pPr>
        <w:pStyle w:val="887"/>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4.预算金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额：160万元</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最高限价（如有）：</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160万元</w:t>
      </w:r>
      <w:r>
        <w:rPr>
          <w:rFonts w:hint="eastAsia" w:ascii="宋体" w:hAnsi="宋体" w:eastAsia="宋体" w:cs="宋体"/>
          <w:sz w:val="24"/>
          <w:szCs w:val="24"/>
          <w:highlight w:val="none"/>
        </w:rPr>
        <w:t xml:space="preserve">，高于该限价作无效标论处</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.采购需求（简介）：</w:t>
      </w:r>
      <w:r>
        <w:rPr>
          <w:rFonts w:hint="eastAsia" w:ascii="宋体" w:hAnsi="宋体" w:eastAsia="宋体" w:cs="宋体"/>
          <w:color w:val="000000"/>
          <w:sz w:val="24"/>
          <w:szCs w:val="24"/>
          <w:highlight w:val="none"/>
          <w:lang w:val="en-US" w:eastAsia="zh-CN"/>
        </w:rPr>
        <w:t xml:space="preserve">为2025年超长期特别国债项目全生命周期管理提供项目执行、资金管理及验收辅助全过程服务。</w:t>
      </w:r>
      <w:r/>
    </w:p>
    <w:p>
      <w:pPr>
        <w:pStyle w:val="887"/>
        <w:ind w:firstLine="480"/>
        <w:jc w:val="both"/>
        <w:keepLines w:val="0"/>
        <w:keepNext w:val="0"/>
        <w:pageBreakBefore w:val="0"/>
        <w:spacing w:beforeAutospacing="0"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.合同履行期限：20</w:t>
      </w:r>
      <w:r>
        <w:rPr>
          <w:rFonts w:hint="eastAsia" w:ascii="宋体" w:hAnsi="宋体" w:eastAsia="宋体" w:cs="宋体"/>
          <w:b w:val="0"/>
          <w:bCs/>
          <w:sz w:val="24"/>
          <w:szCs w:val="24"/>
        </w:rPr>
        <w:t xml:space="preserve">26年12月31日</w:t>
      </w:r>
      <w:r>
        <w:rPr>
          <w:rFonts w:hint="eastAsia" w:ascii="宋体" w:hAnsi="宋体" w:eastAsia="宋体" w:cs="宋体"/>
          <w:b w:val="0"/>
          <w:bCs/>
          <w:sz w:val="24"/>
          <w:szCs w:val="24"/>
          <w:lang w:eastAsia="zh-CN"/>
        </w:rPr>
        <w:t xml:space="preserve">前</w:t>
      </w:r>
      <w:r>
        <w:rPr>
          <w:rFonts w:hint="eastAsia" w:ascii="宋体" w:hAnsi="宋体" w:eastAsia="宋体" w:cs="宋体"/>
          <w:b w:val="0"/>
          <w:bCs/>
          <w:sz w:val="24"/>
          <w:szCs w:val="24"/>
        </w:rPr>
        <w:t xml:space="preserve">项目通过上级最终验收并完成总结归档</w:t>
      </w:r>
      <w:r>
        <w:rPr>
          <w:rFonts w:hint="eastAsia" w:ascii="宋体" w:hAnsi="宋体" w:eastAsia="宋体" w:cs="宋体"/>
          <w:b w:val="0"/>
          <w:bCs/>
          <w:sz w:val="24"/>
          <w:szCs w:val="24"/>
          <w:lang w:eastAsia="zh-CN"/>
        </w:rPr>
        <w:t xml:space="preserve">。</w:t>
      </w:r>
      <w:r/>
    </w:p>
    <w:p>
      <w:pPr>
        <w:pStyle w:val="887"/>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w:t>
      </w:r>
      <w:r>
        <w:rPr>
          <w:rFonts w:hint="eastAsia" w:eastAsia="宋体"/>
          <w:sz w:val="24"/>
          <w:szCs w:val="24"/>
          <w:highlight w:val="none"/>
          <w:shd w:val="clear" w:color="auto" w:fill="ffffff"/>
        </w:rPr>
        <w:t xml:space="preserve">本项目不接受联合体参与磋商</w:t>
      </w:r>
      <w:r>
        <w:rPr>
          <w:rFonts w:hint="eastAsia" w:eastAsia="宋体"/>
          <w:sz w:val="24"/>
          <w:szCs w:val="24"/>
          <w:highlight w:val="none"/>
          <w:shd w:val="clear" w:color="auto" w:fill="ffffff"/>
          <w:lang w:eastAsia="zh-CN"/>
        </w:rPr>
        <w:t xml:space="preserve">。</w:t>
      </w:r>
      <w:r/>
    </w:p>
    <w:p>
      <w:pPr>
        <w:pStyle w:val="887"/>
        <w:ind w:firstLine="482"/>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4" w:name="_Toc38985264"/>
      <w:r/>
      <w:bookmarkStart w:id="15" w:name="_Toc35393622"/>
      <w:r/>
      <w:bookmarkStart w:id="16" w:name="_Toc35393791"/>
      <w:r/>
      <w:bookmarkStart w:id="17" w:name="_Toc28359003"/>
      <w:r/>
      <w:bookmarkStart w:id="18" w:name="_Toc28359080"/>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ind w:firstLine="48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cs="宋体"/>
          <w:b w:val="0"/>
          <w:bCs w:val="0"/>
          <w:sz w:val="24"/>
          <w:szCs w:val="24"/>
          <w:highlight w:val="none"/>
          <w:lang w:val="en-US" w:eastAsia="zh-CN"/>
        </w:rPr>
        <w:t xml:space="preserve">1.</w:t>
      </w:r>
      <w:r>
        <w:rPr>
          <w:rFonts w:hint="eastAsia" w:ascii="宋体" w:hAnsi="宋体" w:eastAsia="宋体" w:cs="宋体"/>
          <w:sz w:val="24"/>
          <w:szCs w:val="24"/>
          <w:highlight w:val="none"/>
        </w:rPr>
        <w:t xml:space="preserve">满足《中华人民共和国政府采购法》第二十二条规定，并提供下列材料</w:t>
      </w:r>
      <w:r>
        <w:rPr>
          <w:rFonts w:hint="eastAsia" w:ascii="宋体" w:hAnsi="宋体" w:eastAsia="宋体" w:cs="宋体"/>
          <w:sz w:val="24"/>
          <w:szCs w:val="24"/>
          <w:highlight w:val="none"/>
          <w:lang w:eastAsia="zh-CN"/>
        </w:rPr>
        <w:t xml:space="preserve">：</w:t>
      </w:r>
      <w:r/>
    </w:p>
    <w:p>
      <w:pPr>
        <w:pStyle w:val="887"/>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 法人或者其他组织的营业执照等证明文件，自然人的身份证明</w:t>
      </w:r>
      <w:r>
        <w:rPr>
          <w:rFonts w:hint="eastAsia" w:ascii="宋体" w:hAnsi="宋体" w:eastAsia="宋体" w:cs="宋体"/>
          <w:color w:val="auto"/>
          <w:sz w:val="24"/>
          <w:szCs w:val="24"/>
          <w:highlight w:val="none"/>
          <w:lang w:eastAsia="zh-CN"/>
        </w:rPr>
        <w:t xml:space="preserve">。</w:t>
      </w:r>
      <w:r/>
    </w:p>
    <w:p>
      <w:pPr>
        <w:pStyle w:val="887"/>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1.2上一年度的财务状况报表（成立不满一年无需提供）</w:t>
      </w:r>
      <w:r>
        <w:rPr>
          <w:rFonts w:hint="eastAsia" w:ascii="宋体" w:hAnsi="宋体" w:eastAsia="宋体" w:cs="宋体"/>
          <w:color w:val="auto"/>
          <w:sz w:val="24"/>
          <w:szCs w:val="24"/>
          <w:highlight w:val="none"/>
          <w:lang w:eastAsia="zh-CN"/>
        </w:rPr>
        <w:t xml:space="preserve">。</w:t>
      </w:r>
      <w:r/>
    </w:p>
    <w:p>
      <w:pPr>
        <w:pStyle w:val="887"/>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color w:val="auto"/>
          <w:sz w:val="24"/>
          <w:szCs w:val="24"/>
          <w:highlight w:val="none"/>
          <w:lang w:eastAsia="zh-CN"/>
        </w:rPr>
        <w:t xml:space="preserve">。</w:t>
      </w:r>
      <w:r/>
    </w:p>
    <w:p>
      <w:pPr>
        <w:pStyle w:val="887"/>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auto"/>
          <w:sz w:val="24"/>
          <w:szCs w:val="24"/>
          <w:highlight w:val="none"/>
          <w:lang w:eastAsia="zh-CN"/>
        </w:rPr>
        <w:t xml:space="preserve">。</w:t>
      </w:r>
      <w:r/>
    </w:p>
    <w:p>
      <w:pPr>
        <w:pStyle w:val="887"/>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87"/>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87"/>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87"/>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887"/>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落实政府采购政策需满足的资格要求：</w:t>
      </w:r>
      <w:r>
        <w:rPr>
          <w:rFonts w:hint="eastAsia" w:ascii="宋体" w:hAnsi="宋体" w:eastAsia="宋体" w:cs="宋体"/>
          <w:color w:val="auto"/>
          <w:sz w:val="24"/>
          <w:szCs w:val="24"/>
          <w:highlight w:val="none"/>
          <w:shd w:val="clear" w:color="auto" w:fill="auto"/>
        </w:rPr>
        <w:t xml:space="preserve">本项目属于服务类采购项目。本项目为非预留份额的采购项目或采购包，执行价格扣除优惠政策，小微型企业、监狱企业或残疾人福利性单位报价给予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auto"/>
          <w:sz w:val="24"/>
          <w:szCs w:val="24"/>
          <w:highlight w:val="none"/>
          <w:shd w:val="clear" w:color="auto" w:fill="auto"/>
          <w:lang w:eastAsia="zh-CN"/>
        </w:rPr>
        <w:t xml:space="preserve">。</w:t>
      </w:r>
      <w:r/>
    </w:p>
    <w:p>
      <w:pPr>
        <w:pStyle w:val="905"/>
        <w:ind w:firstLine="480"/>
        <w:jc w:val="both"/>
        <w:pageBreakBefore w:val="0"/>
        <w:spacing w:before="0" w:after="0" w:line="420" w:lineRule="exact"/>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本项目的特定资格要求：</w:t>
      </w:r>
      <w:r>
        <w:rPr>
          <w:rFonts w:hint="eastAsia" w:ascii="宋体" w:hAnsi="宋体" w:eastAsia="宋体" w:cs="宋体"/>
          <w:b w:val="0"/>
          <w:bCs w:val="0"/>
          <w:sz w:val="24"/>
          <w:szCs w:val="24"/>
          <w:highlight w:val="none"/>
          <w:lang w:eastAsia="zh-CN"/>
        </w:rPr>
        <w:t xml:space="preserve">无</w:t>
      </w:r>
      <w:r/>
    </w:p>
    <w:p>
      <w:pPr>
        <w:pStyle w:val="887"/>
        <w:ind w:firstLine="482"/>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文件</w:t>
      </w:r>
      <w:r/>
    </w:p>
    <w:p>
      <w:pPr>
        <w:ind w:right="0"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9" w:name="_Toc28359005"/>
      <w:r/>
      <w:bookmarkStart w:id="20" w:name="_Toc35393624"/>
      <w:r/>
      <w:bookmarkStart w:id="21" w:name="_Toc38985266"/>
      <w:r/>
      <w:bookmarkStart w:id="22" w:name="_Toc35393793"/>
      <w:r/>
      <w:bookmarkStart w:id="23" w:name="_Toc28359082"/>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19"/>
      <w:r/>
      <w:bookmarkEnd w:id="20"/>
      <w:r/>
      <w:bookmarkEnd w:id="21"/>
      <w:r/>
      <w:bookmarkEnd w:id="22"/>
      <w:r/>
      <w:bookmarkEnd w:id="23"/>
      <w:r/>
      <w:r/>
    </w:p>
    <w:p>
      <w:pPr>
        <w:ind w:firstLine="480"/>
        <w:jc w:val="left"/>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2.地点：“苏采云”系统内免费下载（投标人必须在苏采云系统中获取磋商文件，方能参与政府采购项目）；</w:t>
      </w:r>
      <w:r/>
    </w:p>
    <w:p>
      <w:pPr>
        <w:ind w:firstLine="480"/>
        <w:jc w:val="left"/>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w:t>
      </w:r>
      <w:bookmarkStart w:id="192" w:name="_GoBack"/>
      <w:r/>
      <w:bookmarkEnd w:id="192"/>
      <w:r>
        <w:rPr>
          <w:rFonts w:hint="eastAsia" w:ascii="宋体" w:hAnsi="宋体" w:eastAsia="宋体" w:cs="宋体"/>
          <w:color w:val="auto"/>
          <w:sz w:val="24"/>
          <w:szCs w:val="24"/>
          <w:highlight w:val="none"/>
          <w:shd w:val="clear" w:color="auto" w:fill="auto"/>
          <w:lang w:val="en-US" w:eastAsia="zh-CN" w:bidi="ar-SA"/>
        </w:rPr>
        <w:t xml:space="preserve"> </w:t>
      </w:r>
      <w:r/>
    </w:p>
    <w:p>
      <w:pPr>
        <w:ind w:firstLine="480"/>
        <w:jc w:val="left"/>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887"/>
        <w:ind w:firstLine="482"/>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887"/>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shd w:val="clear" w:color="auto" w:fill="auto"/>
          <w:lang w:val="en-US" w:eastAsia="zh-CN"/>
        </w:rPr>
        <w:t xml:space="preserve">2026</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1</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27</w:t>
      </w:r>
      <w:r>
        <w:rPr>
          <w:rFonts w:hint="eastAsia" w:ascii="宋体" w:hAnsi="宋体" w:eastAsia="宋体" w:cs="宋体"/>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15</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w:t>
      </w:r>
      <w:r/>
    </w:p>
    <w:p>
      <w:pPr>
        <w:pStyle w:val="887"/>
        <w:ind w:firstLine="480"/>
        <w:jc w:val="both"/>
        <w:keepLines w:val="0"/>
        <w:keepNext w:val="0"/>
        <w:pageBreakBefore w:val="0"/>
        <w:spacing w:beforeAutospacing="0" w:afterAutospacing="0" w:line="420" w:lineRule="exact"/>
        <w:widowControl w:val="off"/>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887"/>
        <w:ind w:firstLine="482"/>
        <w:jc w:val="both"/>
        <w:keepLines w:val="0"/>
        <w:keepNext w:val="0"/>
        <w:pageBreakBefore w:val="0"/>
        <w:spacing w:beforeAutospacing="0" w:afterAutospacing="0" w:line="420" w:lineRule="exact"/>
        <w:widowControl w:val="off"/>
        <w:rPr>
          <w:rFonts w:hint="eastAsia" w:ascii="宋体" w:hAnsi="宋体" w:eastAsia="宋体" w:cs="宋体"/>
          <w:b/>
          <w:color w:val="auto"/>
          <w:sz w:val="24"/>
          <w:szCs w:val="24"/>
          <w:highlight w:val="none"/>
          <w:shd w:val="clear" w:color="auto" w:fill="auto"/>
        </w:rPr>
      </w:pPr>
      <w:r/>
      <w:bookmarkStart w:id="24" w:name="_Toc35393626"/>
      <w:r/>
      <w:bookmarkStart w:id="25" w:name="_Toc35393795"/>
      <w:r/>
      <w:bookmarkStart w:id="26" w:name="_Toc38985268"/>
      <w:r>
        <w:rPr>
          <w:rFonts w:hint="eastAsia" w:ascii="宋体" w:hAnsi="宋体" w:eastAsia="宋体" w:cs="宋体"/>
          <w:b/>
          <w:color w:val="auto"/>
          <w:sz w:val="24"/>
          <w:szCs w:val="24"/>
          <w:highlight w:val="none"/>
          <w:shd w:val="clear" w:color="auto" w:fill="auto"/>
        </w:rPr>
        <w:t xml:space="preserve">五、开启</w:t>
      </w:r>
      <w:r/>
    </w:p>
    <w:p>
      <w:pPr>
        <w:pStyle w:val="887"/>
        <w:ind w:right="0"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auto"/>
        </w:rPr>
        <w:t xml:space="preserve">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u w:val="single"/>
          <w:shd w:val="clear" w:color="auto" w:fill="auto"/>
        </w:rPr>
        <w:t xml:space="preserve">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27</w:t>
      </w:r>
      <w:r>
        <w:rPr>
          <w:rFonts w:hint="eastAsia" w:ascii="宋体" w:hAnsi="宋体" w:eastAsia="宋体" w:cs="宋体"/>
          <w:i w:val="0"/>
          <w:iCs w:val="0"/>
          <w:caps w:val="0"/>
          <w:color w:val="auto"/>
          <w:spacing w:val="0"/>
          <w:sz w:val="24"/>
          <w:szCs w:val="24"/>
          <w:highlight w:val="none"/>
          <w:u w:val="single"/>
          <w:shd w:val="clear" w:color="auto" w:fill="auto"/>
        </w:rPr>
        <w:t xml:space="preserve">日</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15</w:t>
      </w:r>
      <w:r>
        <w:rPr>
          <w:rFonts w:hint="eastAsia" w:ascii="宋体" w:hAnsi="宋体" w:eastAsia="宋体" w:cs="宋体"/>
          <w:i w:val="0"/>
          <w:iCs w:val="0"/>
          <w:caps w:val="0"/>
          <w:color w:val="auto"/>
          <w:spacing w:val="0"/>
          <w:sz w:val="24"/>
          <w:szCs w:val="24"/>
          <w:highlight w:val="none"/>
          <w:u w:val="single"/>
          <w:shd w:val="clear" w:color="auto" w:fill="auto"/>
        </w:rPr>
        <w:t xml:space="preserve">点</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00</w:t>
      </w:r>
      <w:r>
        <w:rPr>
          <w:rFonts w:hint="eastAsia" w:ascii="宋体" w:hAnsi="宋体" w:eastAsia="宋体" w:cs="宋体"/>
          <w:i w:val="0"/>
          <w:iCs w:val="0"/>
          <w:caps w:val="0"/>
          <w:color w:val="auto"/>
          <w:spacing w:val="0"/>
          <w:sz w:val="24"/>
          <w:szCs w:val="24"/>
          <w:highlight w:val="none"/>
          <w:u w:val="single"/>
          <w:shd w:val="clear" w:color="auto" w:fill="auto"/>
        </w:rPr>
        <w:t xml:space="preserve">分</w:t>
      </w:r>
      <w:r>
        <w:rPr>
          <w:rFonts w:hint="eastAsia" w:ascii="宋体" w:hAnsi="宋体" w:eastAsia="宋体" w:cs="宋体"/>
          <w:i w:val="0"/>
          <w:iCs w:val="0"/>
          <w:caps w:val="0"/>
          <w:color w:val="auto"/>
          <w:spacing w:val="0"/>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w:t>
      </w:r>
      <w:bookmarkEnd w:id="24"/>
      <w:r/>
      <w:bookmarkEnd w:id="25"/>
      <w:r/>
      <w:bookmarkEnd w:id="26"/>
      <w:r/>
      <w:r/>
    </w:p>
    <w:p>
      <w:pPr>
        <w:pStyle w:val="887"/>
        <w:ind w:firstLine="480"/>
        <w:jc w:val="both"/>
        <w:keepLines w:val="0"/>
        <w:keepNext w:val="0"/>
        <w:pageBreakBefore w:val="0"/>
        <w:spacing w:beforeAutospacing="0" w:afterAutospacing="0" w:line="420" w:lineRule="exact"/>
        <w:widowControl w:val="off"/>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872"/>
        <w:ind w:right="0" w:firstLine="482"/>
        <w:jc w:val="both"/>
        <w:keepLines w:val="0"/>
        <w:keepNext w:val="0"/>
        <w:pageBreakBefore w:val="0"/>
        <w:spacing w:before="0" w:beforeAutospacing="0" w:after="0" w:afterAutospacing="0" w:line="420" w:lineRule="exact"/>
        <w:shd w:val="clear" w:color="auto" w:fill="ffffff"/>
        <w:widowControl w:val="off"/>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7"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7"/>
      <w:r/>
      <w:r/>
    </w:p>
    <w:p>
      <w:pPr>
        <w:pStyle w:val="887"/>
        <w:ind w:right="0"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个工作日。</w:t>
      </w:r>
      <w:r/>
    </w:p>
    <w:p>
      <w:pPr>
        <w:pStyle w:val="887"/>
        <w:ind w:firstLine="482"/>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887"/>
        <w:ind w:left="0" w:right="0"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8"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87"/>
        <w:ind w:left="0" w:right="0"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 磋商文件（后缀名为“.kedt”）、供应商操作手册及政府采购客户端 工具可通过“苏采云”系统相应链接进行下载。 </w:t>
      </w:r>
      <w:r/>
    </w:p>
    <w:p>
      <w:pPr>
        <w:ind w:firstLine="480"/>
        <w:jc w:val="left"/>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采购代理机构将数据电文形式的磋商文件加载至“苏采云”系统，供潜在供应商下载或者查阅。 </w:t>
      </w:r>
      <w:r/>
    </w:p>
    <w:p>
      <w:pPr>
        <w:ind w:firstLine="480"/>
        <w:jc w:val="left"/>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如潜在投标人未按上述要求操作，将自行承担所产生的风险。</w:t>
      </w:r>
      <w:r/>
    </w:p>
    <w:p>
      <w:pPr>
        <w:pStyle w:val="887"/>
        <w:ind w:right="0"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 有关本次磋商的事项若存在变动或修改，敬请及时关注</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pStyle w:val="887"/>
        <w:ind w:left="0" w:right="0"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pStyle w:val="872"/>
        <w:ind w:right="0" w:firstLine="482"/>
        <w:jc w:val="both"/>
        <w:keepLines w:val="0"/>
        <w:keepNext w:val="0"/>
        <w:pageBreakBefore w:val="0"/>
        <w:spacing w:before="0" w:beforeAutospacing="0" w:after="0" w:afterAutospacing="0" w:line="420" w:lineRule="exact"/>
        <w:shd w:val="clear" w:color="auto" w:fill="ffffff"/>
        <w:widowControl w:val="off"/>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shd w:val="clear" w:color="auto" w:fill="auto"/>
          <w:lang w:val="en-US" w:eastAsia="zh-CN" w:bidi="ar-SA"/>
        </w:rPr>
        <w:t xml:space="preserve">八、凡对本次采购提出询问，请按以下方式联系。</w:t>
      </w:r>
      <w:bookmarkEnd w:id="28"/>
      <w:r/>
      <w:r/>
    </w:p>
    <w:p>
      <w:pPr>
        <w:pStyle w:val="887"/>
        <w:ind w:left="0" w:right="0"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887"/>
        <w:ind w:left="0" w:right="0"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名称：</w:t>
      </w:r>
      <w:r>
        <w:rPr>
          <w:rFonts w:hint="eastAsia" w:eastAsia="宋体"/>
          <w:sz w:val="24"/>
          <w:szCs w:val="24"/>
          <w:highlight w:val="none"/>
          <w:shd w:val="clear" w:color="auto" w:fill="ffffff"/>
          <w:lang w:eastAsia="zh-CN"/>
        </w:rPr>
        <w:t xml:space="preserve">射阳县住房和城乡建设局</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887"/>
        <w:ind w:left="0" w:right="0"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地址：</w:t>
      </w:r>
      <w:r>
        <w:rPr>
          <w:rFonts w:hint="eastAsia" w:ascii="宋体" w:hAnsi="宋体" w:eastAsia="宋体" w:cs="宋体"/>
          <w:sz w:val="24"/>
          <w:szCs w:val="24"/>
          <w:lang w:val="en-US" w:eastAsia="zh-CN"/>
        </w:rPr>
        <w:t xml:space="preserve">射阳县幸福大道26号</w:t>
      </w:r>
      <w:r/>
    </w:p>
    <w:p>
      <w:pPr>
        <w:pStyle w:val="887"/>
        <w:ind w:left="0" w:right="0"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联系人：袁彬彬</w:t>
      </w:r>
      <w:r/>
    </w:p>
    <w:p>
      <w:pPr>
        <w:pStyle w:val="887"/>
        <w:ind w:left="0" w:right="0"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联系方式：18036300505</w:t>
      </w:r>
      <w:r/>
    </w:p>
    <w:p>
      <w:pPr>
        <w:pStyle w:val="887"/>
        <w:ind w:left="0" w:right="0"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887"/>
        <w:ind w:left="0" w:right="0"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名称：</w:t>
      </w:r>
      <w:r>
        <w:rPr>
          <w:rFonts w:hint="eastAsia" w:ascii="宋体" w:hAnsi="宋体" w:cs="宋体"/>
          <w:sz w:val="24"/>
          <w:szCs w:val="24"/>
          <w:highlight w:val="none"/>
          <w:lang w:eastAsia="zh-CN"/>
        </w:rPr>
        <w:t xml:space="preserve">江苏宏天工程管理有限公司</w:t>
      </w:r>
      <w:r/>
    </w:p>
    <w:p>
      <w:pPr>
        <w:pStyle w:val="887"/>
        <w:ind w:left="0" w:right="0"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地址：</w:t>
      </w:r>
      <w:r>
        <w:rPr>
          <w:rFonts w:hint="eastAsia" w:ascii="宋体" w:hAnsi="宋体" w:eastAsia="宋体" w:cs="宋体"/>
          <w:sz w:val="24"/>
          <w:szCs w:val="24"/>
          <w:shd w:val="clear" w:color="auto" w:fill="ffffff"/>
        </w:rPr>
        <w:t xml:space="preserve">射阳县双山新萃园17号楼103</w:t>
      </w:r>
      <w:r/>
    </w:p>
    <w:p>
      <w:pPr>
        <w:pStyle w:val="887"/>
        <w:ind w:left="0" w:right="0"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w:t>
      </w:r>
      <w:r>
        <w:rPr>
          <w:rFonts w:hint="eastAsia" w:ascii="宋体" w:hAnsi="宋体" w:eastAsia="宋体" w:cs="宋体"/>
          <w:sz w:val="24"/>
          <w:szCs w:val="24"/>
          <w:shd w:val="clear" w:color="auto" w:fill="ffffff"/>
          <w:lang w:val="en-US" w:eastAsia="zh-CN"/>
        </w:rPr>
        <w:t xml:space="preserve">王飞</w:t>
      </w:r>
      <w:r/>
    </w:p>
    <w:p>
      <w:pPr>
        <w:pStyle w:val="887"/>
        <w:ind w:left="0" w:right="0"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bookmarkStart w:id="29" w:name="_Toc28359010"/>
      <w:r/>
      <w:bookmarkStart w:id="30" w:name="_Toc28359087"/>
      <w:r>
        <w:rPr>
          <w:rFonts w:hint="eastAsia" w:ascii="宋体" w:hAnsi="宋体" w:eastAsia="宋体" w:cs="宋体"/>
          <w:sz w:val="24"/>
          <w:szCs w:val="24"/>
          <w:shd w:val="clear" w:color="auto" w:fill="ffffff"/>
        </w:rPr>
        <w:t xml:space="preserve">13905115258</w:t>
      </w:r>
      <w:bookmarkEnd w:id="29"/>
      <w:r/>
      <w:bookmarkEnd w:id="30"/>
      <w:r/>
      <w:bookmarkStart w:id="31" w:name="_Toc28359021"/>
      <w:r/>
      <w:r/>
    </w:p>
    <w:p>
      <w:pPr>
        <w:pStyle w:val="887"/>
        <w:ind w:left="0" w:right="0"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bookmarkEnd w:id="3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项目联系方式</w:t>
      </w:r>
      <w:r/>
    </w:p>
    <w:p>
      <w:pPr>
        <w:pStyle w:val="887"/>
        <w:ind w:left="0" w:right="0"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项目联系人：</w:t>
      </w:r>
      <w:r>
        <w:rPr>
          <w:rFonts w:hint="eastAsia" w:ascii="宋体" w:hAnsi="宋体" w:eastAsia="宋体" w:cs="宋体"/>
          <w:sz w:val="24"/>
          <w:szCs w:val="24"/>
          <w:shd w:val="clear" w:color="auto" w:fill="ffffff"/>
          <w:lang w:val="en-US" w:eastAsia="zh-CN"/>
        </w:rPr>
        <w:t xml:space="preserve">王飞</w:t>
      </w:r>
      <w:r/>
    </w:p>
    <w:p>
      <w:pPr>
        <w:pStyle w:val="887"/>
        <w:ind w:left="0"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电　　话：</w:t>
      </w:r>
      <w:r>
        <w:rPr>
          <w:rFonts w:hint="eastAsia" w:ascii="宋体" w:hAnsi="宋体" w:eastAsia="宋体" w:cs="宋体"/>
          <w:sz w:val="24"/>
          <w:szCs w:val="24"/>
          <w:shd w:val="clear" w:color="auto" w:fill="ffffff"/>
        </w:rPr>
        <w:t xml:space="preserve">13905115258</w:t>
      </w:r>
      <w:r/>
    </w:p>
    <w:p>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clear="all"/>
      </w:r>
      <w:r/>
    </w:p>
    <w:p>
      <w:pPr>
        <w:pStyle w:val="887"/>
        <w:ind w:right="840"/>
        <w:jc w:val="center"/>
        <w:spacing w:beforeAutospacing="0" w:afterAutospacing="0"/>
        <w:rPr>
          <w:color w:val="auto"/>
          <w:highlight w:val="none"/>
        </w:rPr>
      </w:pPr>
      <w:r/>
      <w:bookmarkStart w:id="32" w:name="_Toc120614211"/>
      <w:r>
        <w:rPr>
          <w:rFonts w:hint="eastAsia" w:ascii="黑体" w:hAnsi="宋体" w:eastAsia="黑体" w:cs="黑体"/>
          <w:b/>
          <w:color w:val="auto"/>
          <w:sz w:val="44"/>
          <w:szCs w:val="44"/>
          <w:highlight w:val="none"/>
        </w:rPr>
        <w:t xml:space="preserve">第二章  </w:t>
      </w:r>
      <w:bookmarkEnd w:id="32"/>
      <w:r>
        <w:rPr>
          <w:rFonts w:hint="eastAsia" w:ascii="黑体" w:hAnsi="宋体" w:eastAsia="黑体" w:cs="黑体"/>
          <w:b/>
          <w:color w:val="auto"/>
          <w:sz w:val="44"/>
          <w:szCs w:val="44"/>
          <w:highlight w:val="none"/>
        </w:rPr>
        <w:t xml:space="preserve">供应商须知</w:t>
      </w:r>
      <w:r/>
    </w:p>
    <w:p>
      <w:pPr>
        <w:pStyle w:val="887"/>
        <w:ind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33" w:name="_Toc16938519"/>
      <w:r/>
      <w:bookmarkStart w:id="34" w:name="_Toc20823275"/>
      <w:r/>
      <w:bookmarkStart w:id="35" w:name="_Toc120614214"/>
      <w:r/>
      <w:bookmarkStart w:id="36" w:name="_Toc513029203"/>
      <w:r>
        <w:rPr>
          <w:rFonts w:hint="eastAsia" w:ascii="宋体" w:hAnsi="宋体" w:eastAsia="宋体" w:cs="宋体"/>
          <w:b/>
          <w:color w:val="auto"/>
          <w:sz w:val="24"/>
          <w:szCs w:val="24"/>
          <w:highlight w:val="none"/>
        </w:rPr>
        <w:t xml:space="preserve">一、总则</w:t>
      </w:r>
      <w:bookmarkEnd w:id="33"/>
      <w:r/>
      <w:bookmarkEnd w:id="34"/>
      <w:r/>
      <w:bookmarkEnd w:id="35"/>
      <w:r/>
      <w:bookmarkEnd w:id="36"/>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37" w:name="_Toc20823276"/>
      <w:r/>
      <w:bookmarkStart w:id="38" w:name="_Toc16938520"/>
      <w:r/>
      <w:bookmarkStart w:id="39" w:name="_Toc458694821"/>
      <w:r/>
      <w:bookmarkStart w:id="40" w:name="_Toc513029204"/>
      <w:r/>
      <w:bookmarkStart w:id="41" w:name="_Hlt16619475"/>
      <w:r>
        <w:rPr>
          <w:rFonts w:hint="eastAsia" w:ascii="宋体" w:hAnsi="宋体" w:eastAsia="宋体" w:cs="宋体"/>
          <w:color w:val="auto"/>
          <w:sz w:val="24"/>
          <w:szCs w:val="24"/>
          <w:highlight w:val="none"/>
        </w:rPr>
        <w:t xml:space="preserve">1</w:t>
      </w:r>
      <w:bookmarkEnd w:id="37"/>
      <w:r>
        <w:rPr>
          <w:rFonts w:hint="eastAsia" w:ascii="宋体" w:hAnsi="宋体" w:eastAsia="宋体" w:cs="宋体"/>
          <w:color w:val="auto"/>
          <w:sz w:val="24"/>
          <w:szCs w:val="24"/>
          <w:highlight w:val="none"/>
        </w:rPr>
        <w:t xml:space="preserve">、采购方式</w:t>
      </w:r>
      <w:bookmarkEnd w:id="38"/>
      <w:r/>
      <w:bookmarkEnd w:id="39"/>
      <w:r/>
      <w:bookmarkEnd w:id="40"/>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42" w:name="_Toc513029205"/>
      <w:r/>
      <w:bookmarkStart w:id="43" w:name="_Toc20823277"/>
      <w:r/>
      <w:bookmarkStart w:id="44" w:name="_Toc16938521"/>
      <w:r>
        <w:rPr>
          <w:rFonts w:hint="eastAsia" w:ascii="宋体" w:hAnsi="宋体" w:eastAsia="宋体" w:cs="宋体"/>
          <w:color w:val="auto"/>
          <w:sz w:val="24"/>
          <w:szCs w:val="24"/>
          <w:highlight w:val="none"/>
        </w:rPr>
        <w:t xml:space="preserve">2、合格的</w:t>
      </w:r>
      <w:bookmarkEnd w:id="42"/>
      <w:r/>
      <w:bookmarkEnd w:id="43"/>
      <w:r/>
      <w:bookmarkEnd w:id="44"/>
      <w:r>
        <w:rPr>
          <w:rFonts w:hint="eastAsia" w:ascii="宋体" w:hAnsi="宋体" w:eastAsia="宋体" w:cs="宋体"/>
          <w:color w:val="auto"/>
          <w:sz w:val="24"/>
          <w:szCs w:val="24"/>
          <w:highlight w:val="none"/>
        </w:rPr>
        <w:t xml:space="preserve">供应商</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45" w:name="_Toc20823278"/>
      <w:r/>
      <w:bookmarkStart w:id="46" w:name="_Toc513029206"/>
      <w:r/>
      <w:bookmarkStart w:id="47" w:name="_Toc16938522"/>
      <w:r>
        <w:rPr>
          <w:rFonts w:hint="eastAsia" w:ascii="宋体" w:hAnsi="宋体" w:eastAsia="宋体" w:cs="宋体"/>
          <w:color w:val="auto"/>
          <w:sz w:val="24"/>
          <w:szCs w:val="24"/>
          <w:highlight w:val="none"/>
        </w:rPr>
        <w:t xml:space="preserve">3、适用法律</w:t>
      </w:r>
      <w:bookmarkEnd w:id="45"/>
      <w:r/>
      <w:bookmarkEnd w:id="46"/>
      <w:r/>
      <w:bookmarkEnd w:id="47"/>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48" w:name="_Toc16938523"/>
      <w:r/>
      <w:bookmarkStart w:id="49" w:name="_Toc20823279"/>
      <w:r/>
      <w:bookmarkStart w:id="50" w:name="_Toc513029207"/>
      <w:r/>
      <w:bookmarkStart w:id="51" w:name="_Toc462564067"/>
      <w:r>
        <w:rPr>
          <w:rFonts w:hint="eastAsia" w:ascii="宋体" w:hAnsi="宋体" w:eastAsia="宋体" w:cs="宋体"/>
          <w:color w:val="auto"/>
          <w:sz w:val="24"/>
          <w:szCs w:val="24"/>
          <w:highlight w:val="none"/>
        </w:rPr>
        <w:t xml:space="preserve">4、磋商费用</w:t>
      </w:r>
      <w:bookmarkEnd w:id="48"/>
      <w:r/>
      <w:bookmarkEnd w:id="49"/>
      <w:r/>
      <w:bookmarkEnd w:id="50"/>
      <w:r/>
      <w:bookmarkEnd w:id="51"/>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eastAsia="zh-CN"/>
        </w:rPr>
        <w:t xml:space="preserve">采购人及</w:t>
      </w:r>
      <w:r>
        <w:rPr>
          <w:rFonts w:hint="eastAsia" w:ascii="宋体" w:hAnsi="宋体"/>
          <w:color w:val="000000"/>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keepLines w:val="0"/>
        <w:keepNext w:val="0"/>
        <w:pageBreakBefore w:val="0"/>
        <w:spacing w:line="460" w:lineRule="exact"/>
        <w:widowControl w:val="off"/>
        <w:rPr>
          <w:rFonts w:hint="eastAsia" w:ascii="宋体" w:hAnsi="宋体"/>
          <w:color w:val="000000"/>
          <w:sz w:val="24"/>
          <w:szCs w:val="24"/>
          <w:highlight w:val="none"/>
        </w:rPr>
        <w:outlineLvl w:val="3"/>
      </w:pPr>
      <w:r>
        <w:rPr>
          <w:rFonts w:hint="eastAsia" w:ascii="宋体" w:hAnsi="宋体" w:eastAsia="宋体" w:cs="宋体"/>
          <w:color w:val="auto"/>
          <w:sz w:val="24"/>
          <w:szCs w:val="24"/>
          <w:highlight w:val="none"/>
        </w:rPr>
        <w:t xml:space="preserve">4.2本次磋商</w:t>
      </w:r>
      <w:r>
        <w:rPr>
          <w:rFonts w:hint="eastAsia" w:ascii="宋体" w:hAnsi="宋体"/>
          <w:color w:val="000000"/>
          <w:sz w:val="24"/>
          <w:szCs w:val="24"/>
          <w:highlight w:val="none"/>
        </w:rPr>
        <w:t xml:space="preserve">采购人和</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不收取标书工本费。</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4.3</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代理服务费用按《江苏省政府采购代理服务收费指导意见》（苏政采协【2024】20号）收费标准进行计取。由</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供应商在领取</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通知书前向招标代理机构一次性支付（本条不单独列表报价，自行综合考虑在投标报价中）。</w:t>
      </w:r>
      <w:r/>
    </w:p>
    <w:p>
      <w:pPr>
        <w:pStyle w:val="887"/>
        <w:ind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887"/>
        <w:ind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52" w:name="_Toc513029209"/>
      <w:r/>
      <w:bookmarkStart w:id="53" w:name="_Toc16938525"/>
      <w:r/>
      <w:bookmarkStart w:id="54" w:name="_Toc20823281"/>
      <w:r/>
      <w:bookmarkStart w:id="55" w:name="_Toc120614215"/>
      <w:r>
        <w:rPr>
          <w:rFonts w:hint="eastAsia" w:ascii="宋体" w:hAnsi="宋体" w:eastAsia="宋体" w:cs="宋体"/>
          <w:b/>
          <w:color w:val="auto"/>
          <w:sz w:val="24"/>
          <w:szCs w:val="24"/>
          <w:highlight w:val="none"/>
        </w:rPr>
        <w:t xml:space="preserve">二、</w:t>
      </w:r>
      <w:bookmarkEnd w:id="52"/>
      <w:r/>
      <w:bookmarkEnd w:id="53"/>
      <w:r/>
      <w:bookmarkEnd w:id="54"/>
      <w:r/>
      <w:bookmarkEnd w:id="55"/>
      <w:r>
        <w:rPr>
          <w:rFonts w:hint="eastAsia" w:ascii="宋体" w:hAnsi="宋体" w:eastAsia="宋体" w:cs="宋体"/>
          <w:b/>
          <w:color w:val="auto"/>
          <w:sz w:val="24"/>
          <w:szCs w:val="24"/>
          <w:highlight w:val="none"/>
        </w:rPr>
        <w:t xml:space="preserve">磋商文件</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56" w:name="_Toc16938526"/>
      <w:r/>
      <w:bookmarkStart w:id="57" w:name="_Toc513029210"/>
      <w:r/>
      <w:bookmarkStart w:id="58" w:name="_Toc20823282"/>
      <w:r>
        <w:rPr>
          <w:rFonts w:hint="eastAsia" w:ascii="宋体" w:hAnsi="宋体" w:eastAsia="宋体" w:cs="宋体"/>
          <w:color w:val="auto"/>
          <w:sz w:val="24"/>
          <w:szCs w:val="24"/>
          <w:highlight w:val="none"/>
        </w:rPr>
        <w:t xml:space="preserve">6、磋商文件构成</w:t>
      </w:r>
      <w:bookmarkEnd w:id="56"/>
      <w:r/>
      <w:bookmarkEnd w:id="57"/>
      <w:r/>
      <w:bookmarkEnd w:id="58"/>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请仔细检查磋商文件是否齐全，如有缺漏请立即与代理机构联系解决。</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59" w:name="_Toc462564070"/>
      <w:r/>
      <w:bookmarkStart w:id="60" w:name="_Toc16938527"/>
      <w:r/>
      <w:bookmarkStart w:id="61" w:name="_Toc513029211"/>
      <w:r/>
      <w:bookmarkStart w:id="62" w:name="_Toc20823283"/>
      <w:r>
        <w:rPr>
          <w:rFonts w:hint="eastAsia" w:ascii="宋体" w:hAnsi="宋体" w:eastAsia="宋体" w:cs="宋体"/>
          <w:color w:val="auto"/>
          <w:sz w:val="24"/>
          <w:szCs w:val="24"/>
          <w:highlight w:val="none"/>
        </w:rPr>
        <w:t xml:space="preserve">7、磋商文件的澄清</w:t>
      </w:r>
      <w:bookmarkEnd w:id="59"/>
      <w:r/>
      <w:bookmarkEnd w:id="60"/>
      <w:r/>
      <w:bookmarkEnd w:id="61"/>
      <w:r/>
      <w:bookmarkEnd w:id="62"/>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任何要求对磋商文件进行澄清的供应商，应在磋商截止期5日前按磋商公告中的通讯地址，以书面形式通知代理机构。</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63" w:name="_Toc513029212"/>
      <w:r/>
      <w:bookmarkStart w:id="64" w:name="_Toc20823284"/>
      <w:r/>
      <w:bookmarkStart w:id="65" w:name="_Toc462564071"/>
      <w:r/>
      <w:bookmarkStart w:id="66" w:name="_Toc16938528"/>
      <w:r>
        <w:rPr>
          <w:rFonts w:hint="eastAsia" w:ascii="宋体" w:hAnsi="宋体" w:eastAsia="宋体" w:cs="宋体"/>
          <w:color w:val="auto"/>
          <w:sz w:val="24"/>
          <w:szCs w:val="24"/>
          <w:highlight w:val="none"/>
        </w:rPr>
        <w:t xml:space="preserve">8、磋商文件的澄清和修改</w:t>
      </w:r>
      <w:bookmarkEnd w:id="63"/>
      <w:r/>
      <w:bookmarkEnd w:id="64"/>
      <w:r/>
      <w:bookmarkEnd w:id="65"/>
      <w:r/>
      <w:bookmarkEnd w:id="66"/>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可以对磋商文件进行澄清和修改, 澄清或者修改的内容作为磋商文件的组成部分。澄清或者修改的内容可能影响响应文件编制的，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“江苏政府采购网”、“盐城市政府采购网”上发布书面更正公告形式通知所有获取磋商文件的供应商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更正公告内容将作为磋商文件的组成部分，并对供应商具有约束力。不足5日的，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将顺延提交首次响应文件截止时间。</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887"/>
        <w:ind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67" w:name="_Toc20823285"/>
      <w:r/>
      <w:bookmarkStart w:id="68" w:name="_Toc16938529"/>
      <w:r/>
      <w:bookmarkStart w:id="69" w:name="_Toc120614216"/>
      <w:r/>
      <w:bookmarkStart w:id="70" w:name="_Toc513029213"/>
      <w:r/>
      <w:bookmarkStart w:id="71" w:name="_Toc462564072"/>
      <w:r>
        <w:rPr>
          <w:rFonts w:hint="eastAsia" w:ascii="宋体" w:hAnsi="宋体" w:eastAsia="宋体" w:cs="宋体"/>
          <w:b/>
          <w:color w:val="auto"/>
          <w:sz w:val="24"/>
          <w:szCs w:val="24"/>
          <w:highlight w:val="none"/>
        </w:rPr>
        <w:t xml:space="preserve">三、响应文件的编制</w:t>
      </w:r>
      <w:bookmarkEnd w:id="67"/>
      <w:r/>
      <w:bookmarkEnd w:id="68"/>
      <w:r/>
      <w:bookmarkEnd w:id="69"/>
      <w:r/>
      <w:bookmarkEnd w:id="70"/>
      <w:r/>
      <w:bookmarkEnd w:id="71"/>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72" w:name="_Toc16938530"/>
      <w:r/>
      <w:bookmarkStart w:id="73" w:name="_Toc462564073"/>
      <w:r/>
      <w:bookmarkStart w:id="74" w:name="_Toc513029214"/>
      <w:r/>
      <w:bookmarkStart w:id="75" w:name="_Toc20823286"/>
      <w:r>
        <w:rPr>
          <w:rFonts w:hint="eastAsia" w:ascii="宋体" w:hAnsi="宋体" w:eastAsia="宋体" w:cs="宋体"/>
          <w:color w:val="auto"/>
          <w:sz w:val="24"/>
          <w:szCs w:val="24"/>
          <w:highlight w:val="none"/>
        </w:rPr>
        <w:t xml:space="preserve">9、响应文件的语言及度量衡单位</w:t>
      </w:r>
      <w:bookmarkEnd w:id="72"/>
      <w:r/>
      <w:bookmarkEnd w:id="73"/>
      <w:r/>
      <w:bookmarkEnd w:id="74"/>
      <w:r/>
      <w:bookmarkEnd w:id="75"/>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76" w:name="_Toc513029215"/>
      <w:r/>
      <w:bookmarkStart w:id="77" w:name="_Toc16938531"/>
      <w:r/>
      <w:bookmarkStart w:id="78" w:name="_Toc20823287"/>
      <w:r/>
      <w:bookmarkStart w:id="79" w:name="_Toc462564074"/>
      <w:r>
        <w:rPr>
          <w:rFonts w:hint="eastAsia" w:ascii="宋体" w:hAnsi="宋体" w:eastAsia="宋体" w:cs="宋体"/>
          <w:color w:val="auto"/>
          <w:sz w:val="24"/>
          <w:szCs w:val="24"/>
          <w:highlight w:val="none"/>
        </w:rPr>
        <w:t xml:space="preserve">10、响应文件构成</w:t>
      </w:r>
      <w:bookmarkEnd w:id="76"/>
      <w:r/>
      <w:bookmarkEnd w:id="77"/>
      <w:r/>
      <w:bookmarkEnd w:id="78"/>
      <w:r/>
      <w:bookmarkEnd w:id="79"/>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10.1供应商编写的响应文件应包括资格证明文件、符合性证明文件、其他证明文件、磋商响应函等部分。</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“江苏政府采购网”、“盐城市政府采购网”发布的磋商文件不一致，请以“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“江苏政府采购网”、“盐城市政府采购网”发布的磋商文件为准。</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80" w:name="_Toc49090508"/>
      <w:r/>
      <w:bookmarkStart w:id="81" w:name="_Toc14577357"/>
      <w:r/>
      <w:bookmarkStart w:id="82" w:name="_Toc513029216"/>
      <w:r/>
      <w:bookmarkStart w:id="83" w:name="_Toc49090507"/>
      <w:r/>
      <w:bookmarkStart w:id="84" w:name="_Toc14577354"/>
      <w:r/>
      <w:bookmarkStart w:id="85" w:name="_Toc513029219"/>
      <w:r/>
      <w:bookmarkStart w:id="86" w:name="_Toc49090509"/>
      <w:r/>
      <w:bookmarkStart w:id="87" w:name="_Toc14577355"/>
      <w:r/>
      <w:bookmarkStart w:id="88" w:name="_Hlt26954838"/>
      <w:r/>
      <w:bookmarkStart w:id="89" w:name="_Hlt26668975"/>
      <w:r/>
      <w:bookmarkStart w:id="90" w:name="_Hlt26670360"/>
      <w:r>
        <w:rPr>
          <w:rFonts w:hint="eastAsia" w:ascii="宋体" w:hAnsi="宋体" w:eastAsia="宋体" w:cs="宋体"/>
          <w:color w:val="auto"/>
          <w:sz w:val="24"/>
          <w:szCs w:val="24"/>
          <w:highlight w:val="none"/>
        </w:rPr>
        <w:t xml:space="preserve">11、证明磋商响应标的符合磋商文件规定的文件</w:t>
      </w:r>
      <w:bookmarkEnd w:id="80"/>
      <w:r/>
      <w:bookmarkEnd w:id="81"/>
      <w:r/>
      <w:bookmarkEnd w:id="82"/>
      <w:r/>
      <w:bookmarkEnd w:id="83"/>
      <w:r/>
      <w:bookmarkEnd w:id="84"/>
      <w:r/>
      <w:bookmarkEnd w:id="85"/>
      <w:r/>
      <w:bookmarkEnd w:id="86"/>
      <w:r/>
      <w:bookmarkEnd w:id="87"/>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hAnsi="宋体" w:eastAsia="宋体"/>
        </w:rPr>
        <w:t xml:space="preserve">分项报价表</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91" w:name="_Hlt26670486"/>
      <w:r/>
      <w:bookmarkStart w:id="92" w:name="_Hlt26954846"/>
      <w:r/>
      <w:bookmarkStart w:id="93" w:name="_Hlt26670482"/>
      <w:r/>
      <w:bookmarkStart w:id="94" w:name="_Hlt26954848"/>
      <w:r/>
      <w:bookmarkStart w:id="95" w:name="_Hlt26954731"/>
      <w:r>
        <w:rPr>
          <w:rFonts w:hint="eastAsia" w:ascii="宋体" w:hAnsi="宋体" w:eastAsia="宋体" w:cs="宋体"/>
          <w:color w:val="auto"/>
          <w:sz w:val="24"/>
          <w:szCs w:val="24"/>
          <w:highlight w:val="none"/>
        </w:rPr>
        <w:t xml:space="preserve">12.1供应商应按照磋商文件规定格式填报分项报价表。</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13、技术要求响应、商务要求响应</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96" w:name="_Toc14577359"/>
      <w:r/>
      <w:bookmarkStart w:id="97" w:name="_Toc49090510"/>
      <w:r>
        <w:rPr>
          <w:rFonts w:hint="eastAsia" w:ascii="宋体" w:hAnsi="宋体" w:eastAsia="宋体" w:cs="宋体"/>
          <w:color w:val="auto"/>
          <w:sz w:val="24"/>
          <w:szCs w:val="24"/>
          <w:highlight w:val="none"/>
        </w:rPr>
        <w:t xml:space="preserve">14、服务承诺、培训计划、人员安排及其他</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14.3供应商需根据磋商文件要求提供磋商响应标的的主要组成部分、功能设计、实现思路及关键技术等。</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15、磋商响应函</w:t>
      </w:r>
      <w:bookmarkEnd w:id="96"/>
      <w:r/>
      <w:bookmarkEnd w:id="97"/>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98" w:name="_Toc14577360"/>
      <w:r/>
      <w:bookmarkStart w:id="99" w:name="_Toc49090511"/>
      <w:r>
        <w:rPr>
          <w:rFonts w:hint="eastAsia" w:ascii="宋体" w:hAnsi="宋体" w:eastAsia="宋体" w:cs="宋体"/>
          <w:color w:val="auto"/>
          <w:sz w:val="24"/>
          <w:szCs w:val="24"/>
          <w:highlight w:val="none"/>
        </w:rPr>
        <w:t xml:space="preserve">16、磋商有效期</w:t>
      </w:r>
      <w:bookmarkEnd w:id="98"/>
      <w:r/>
      <w:bookmarkEnd w:id="99"/>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887"/>
        <w:ind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00" w:name="_Toc120614217"/>
      <w:r/>
      <w:bookmarkStart w:id="101" w:name="_Toc20823296"/>
      <w:r/>
      <w:bookmarkStart w:id="102" w:name="_Toc16938540"/>
      <w:r/>
      <w:bookmarkStart w:id="103" w:name="_Toc513029224"/>
      <w:r/>
      <w:bookmarkStart w:id="104" w:name="_Hlt26954739"/>
      <w:r/>
      <w:bookmarkStart w:id="105" w:name="_Hlt26954852"/>
      <w:r>
        <w:rPr>
          <w:rFonts w:hint="eastAsia" w:ascii="宋体" w:hAnsi="宋体" w:eastAsia="宋体" w:cs="宋体"/>
          <w:b/>
          <w:color w:val="auto"/>
          <w:sz w:val="24"/>
          <w:szCs w:val="24"/>
          <w:highlight w:val="none"/>
        </w:rPr>
        <w:t xml:space="preserve">四、响应文件的递交</w:t>
      </w:r>
      <w:bookmarkEnd w:id="100"/>
      <w:r/>
      <w:bookmarkEnd w:id="101"/>
      <w:r/>
      <w:bookmarkEnd w:id="102"/>
      <w:r/>
      <w:bookmarkEnd w:id="103"/>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06" w:name="_Toc513029225"/>
      <w:r/>
      <w:bookmarkStart w:id="107" w:name="_Toc20823297"/>
      <w:r/>
      <w:bookmarkStart w:id="108" w:name="_Toc16938541"/>
      <w:r/>
      <w:bookmarkStart w:id="109" w:name="_Toc462564084"/>
      <w:r>
        <w:rPr>
          <w:rFonts w:hint="eastAsia" w:ascii="宋体" w:hAnsi="宋体" w:eastAsia="宋体" w:cs="宋体"/>
          <w:color w:val="auto"/>
          <w:sz w:val="24"/>
          <w:szCs w:val="24"/>
          <w:highlight w:val="none"/>
        </w:rPr>
        <w:t xml:space="preserve">18、电子磋商</w:t>
      </w:r>
      <w:bookmarkEnd w:id="106"/>
      <w:r/>
      <w:bookmarkEnd w:id="107"/>
      <w:r/>
      <w:bookmarkEnd w:id="108"/>
      <w:r/>
      <w:bookmarkEnd w:id="109"/>
      <w:r>
        <w:rPr>
          <w:rFonts w:hint="eastAsia" w:ascii="宋体" w:hAnsi="宋体" w:eastAsia="宋体" w:cs="宋体"/>
          <w:color w:val="auto"/>
          <w:sz w:val="24"/>
          <w:szCs w:val="24"/>
          <w:highlight w:val="none"/>
        </w:rPr>
        <w:t xml:space="preserve">响应文件的递交</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10" w:name="_Toc16938542"/>
      <w:r/>
      <w:bookmarkEnd w:id="110"/>
      <w:r/>
      <w:bookmarkStart w:id="111" w:name="_Toc20823298"/>
      <w:r/>
      <w:bookmarkEnd w:id="111"/>
      <w:r/>
      <w:bookmarkStart w:id="112" w:name="_Toc513029226"/>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19.1供应商上传电子响应文件的时间不得迟于磋商公告中规定的提交响应文件截止时间。</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13" w:name="_Toc20823299"/>
      <w:r/>
      <w:bookmarkStart w:id="114" w:name="_Toc513029227"/>
      <w:r/>
      <w:bookmarkStart w:id="115" w:name="_Toc16938543"/>
      <w:r>
        <w:rPr>
          <w:rFonts w:hint="eastAsia" w:ascii="宋体" w:hAnsi="宋体" w:eastAsia="宋体" w:cs="宋体"/>
          <w:color w:val="auto"/>
          <w:sz w:val="24"/>
          <w:szCs w:val="24"/>
          <w:highlight w:val="none"/>
        </w:rPr>
        <w:t xml:space="preserve">20、响应文件</w:t>
      </w:r>
      <w:bookmarkEnd w:id="113"/>
      <w:r/>
      <w:bookmarkEnd w:id="114"/>
      <w:r/>
      <w:bookmarkEnd w:id="115"/>
      <w:r>
        <w:rPr>
          <w:rFonts w:hint="eastAsia" w:ascii="宋体" w:hAnsi="宋体" w:eastAsia="宋体" w:cs="宋体"/>
          <w:color w:val="auto"/>
          <w:sz w:val="24"/>
          <w:szCs w:val="24"/>
          <w:highlight w:val="none"/>
        </w:rPr>
        <w:t xml:space="preserve">的拒收</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16" w:name="_Toc513029228"/>
      <w:r/>
      <w:bookmarkStart w:id="117" w:name="_Toc16938544"/>
      <w:r/>
      <w:bookmarkStart w:id="118" w:name="_Toc20823300"/>
      <w:r>
        <w:rPr>
          <w:rFonts w:hint="eastAsia" w:ascii="宋体" w:hAnsi="宋体" w:eastAsia="宋体" w:cs="宋体"/>
          <w:color w:val="auto"/>
          <w:sz w:val="24"/>
          <w:szCs w:val="24"/>
          <w:highlight w:val="none"/>
        </w:rPr>
        <w:t xml:space="preserve">21、响应文件的撤回和修改</w:t>
      </w:r>
      <w:bookmarkEnd w:id="116"/>
      <w:r/>
      <w:bookmarkEnd w:id="117"/>
      <w:r/>
      <w:bookmarkEnd w:id="118"/>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pStyle w:val="887"/>
        <w:ind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19" w:name="_Toc120614218"/>
      <w:r/>
      <w:bookmarkStart w:id="120" w:name="_Toc16938545"/>
      <w:r/>
      <w:bookmarkStart w:id="121" w:name="_Toc513029229"/>
      <w:r/>
      <w:bookmarkStart w:id="122" w:name="_Toc20823301"/>
      <w:r>
        <w:rPr>
          <w:rFonts w:hint="eastAsia" w:ascii="宋体" w:hAnsi="宋体" w:eastAsia="宋体" w:cs="宋体"/>
          <w:b/>
          <w:color w:val="auto"/>
          <w:sz w:val="24"/>
          <w:szCs w:val="24"/>
          <w:highlight w:val="none"/>
        </w:rPr>
        <w:t xml:space="preserve">五、响应文件的解密与评审</w:t>
      </w:r>
      <w:bookmarkEnd w:id="119"/>
      <w:r/>
      <w:bookmarkEnd w:id="120"/>
      <w:r/>
      <w:bookmarkEnd w:id="121"/>
      <w:r/>
      <w:bookmarkEnd w:id="122"/>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23" w:name="_Toc16938546"/>
      <w:r/>
      <w:bookmarkStart w:id="124" w:name="_Toc20823302"/>
      <w:r/>
      <w:bookmarkStart w:id="125" w:name="_Toc513029230"/>
      <w:r>
        <w:rPr>
          <w:rFonts w:hint="eastAsia" w:ascii="宋体" w:hAnsi="宋体" w:eastAsia="宋体" w:cs="宋体"/>
          <w:color w:val="auto"/>
          <w:sz w:val="24"/>
          <w:szCs w:val="24"/>
          <w:highlight w:val="none"/>
        </w:rPr>
        <w:t xml:space="preserve">22、</w:t>
      </w:r>
      <w:bookmarkEnd w:id="123"/>
      <w:r/>
      <w:bookmarkEnd w:id="124"/>
      <w:r/>
      <w:bookmarkEnd w:id="125"/>
      <w:r>
        <w:rPr>
          <w:rFonts w:hint="eastAsia" w:ascii="宋体" w:hAnsi="宋体" w:eastAsia="宋体" w:cs="宋体"/>
          <w:color w:val="auto"/>
          <w:sz w:val="24"/>
          <w:szCs w:val="24"/>
          <w:highlight w:val="none"/>
        </w:rPr>
        <w:t xml:space="preserve">响应文件解密</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26" w:name="_Toc513029231"/>
      <w:r/>
      <w:bookmarkStart w:id="127" w:name="_Toc20823303"/>
      <w:r/>
      <w:bookmarkStart w:id="128" w:name="_Toc16938547"/>
      <w:r>
        <w:rPr>
          <w:rFonts w:hint="eastAsia" w:ascii="宋体" w:hAnsi="宋体" w:eastAsia="宋体" w:cs="宋体"/>
          <w:color w:val="auto"/>
          <w:sz w:val="24"/>
          <w:szCs w:val="24"/>
          <w:highlight w:val="none"/>
        </w:rPr>
        <w:t xml:space="preserve">23、磋商小组</w:t>
      </w:r>
      <w:bookmarkEnd w:id="126"/>
      <w:r/>
      <w:bookmarkEnd w:id="127"/>
      <w:r/>
      <w:bookmarkEnd w:id="128"/>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23.2磋商小组独立工作，负责评审所有响应文件并确定成交侯选人。</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29" w:name="_Toc20823304"/>
      <w:r/>
      <w:bookmarkStart w:id="130" w:name="_Toc16938548"/>
      <w:r/>
      <w:bookmarkStart w:id="131" w:name="_Toc513029232"/>
      <w:r>
        <w:rPr>
          <w:rFonts w:hint="eastAsia" w:ascii="宋体" w:hAnsi="宋体" w:eastAsia="宋体" w:cs="宋体"/>
          <w:color w:val="auto"/>
          <w:sz w:val="24"/>
          <w:szCs w:val="24"/>
          <w:highlight w:val="none"/>
        </w:rPr>
        <w:t xml:space="preserve">25、评审过程中的的澄清</w:t>
      </w:r>
      <w:bookmarkEnd w:id="129"/>
      <w:r/>
      <w:bookmarkEnd w:id="130"/>
      <w:r/>
      <w:bookmarkEnd w:id="131"/>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接到磋商小组澄清、说明和更正要求的供应商如未按规定做出澄清、说明和更正，其风险由供应商自行承担。</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32" w:name="_Toc513029233"/>
      <w:r/>
      <w:bookmarkStart w:id="133" w:name="_Toc20823305"/>
      <w:r/>
      <w:bookmarkStart w:id="134" w:name="_Toc16938549"/>
      <w:r>
        <w:rPr>
          <w:rFonts w:hint="eastAsia" w:ascii="宋体" w:hAnsi="宋体" w:eastAsia="宋体" w:cs="宋体"/>
          <w:color w:val="auto"/>
          <w:sz w:val="24"/>
          <w:szCs w:val="24"/>
          <w:highlight w:val="none"/>
        </w:rPr>
        <w:t xml:space="preserve">26、对响应文件的审</w:t>
      </w:r>
      <w:bookmarkEnd w:id="132"/>
      <w:r/>
      <w:bookmarkEnd w:id="133"/>
      <w:r/>
      <w:bookmarkEnd w:id="134"/>
      <w:r>
        <w:rPr>
          <w:rFonts w:hint="eastAsia" w:ascii="宋体" w:hAnsi="宋体" w:eastAsia="宋体" w:cs="宋体"/>
          <w:color w:val="auto"/>
          <w:sz w:val="24"/>
          <w:szCs w:val="24"/>
          <w:highlight w:val="none"/>
        </w:rPr>
        <w:t xml:space="preserve">查</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i/>
          <w:color w:val="auto"/>
          <w:sz w:val="24"/>
          <w:szCs w:val="24"/>
          <w:highlight w:val="none"/>
          <w:u w:val="single"/>
        </w:rPr>
        <w:t xml:space="preserve">（本磋商文件中斜体且有下划线部分为实质性要求和条件）。</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响应文件含有采购人不能接受的附加条件的。</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26.3.10响应文件未按照磋商文件要求加盖CA电子公章的。</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35" w:name="_Toc16938550"/>
      <w:r/>
      <w:bookmarkStart w:id="136" w:name="_Toc513029234"/>
      <w:r/>
      <w:bookmarkStart w:id="137" w:name="_Toc20823306"/>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及磋商小组联系。</w:t>
      </w:r>
      <w:bookmarkEnd w:id="135"/>
      <w:r/>
      <w:bookmarkEnd w:id="136"/>
      <w:r/>
      <w:bookmarkEnd w:id="137"/>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pStyle w:val="887"/>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pStyle w:val="887"/>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87"/>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87"/>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87"/>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87"/>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87"/>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27.1.4</w:t>
      </w:r>
      <w:r>
        <w:rPr>
          <w:rFonts w:hint="eastAsia" w:ascii="宋体" w:hAnsi="宋体" w:eastAsia="宋体" w:cs="宋体"/>
          <w:color w:val="auto"/>
          <w:sz w:val="24"/>
          <w:szCs w:val="24"/>
          <w:highlight w:val="none"/>
        </w:rPr>
        <w:t xml:space="preserve">磋商小组启动异常低价响应审查的情形和具体要求，包括</w:t>
      </w:r>
      <w:r>
        <w:rPr>
          <w:rFonts w:hint="eastAsia" w:ascii="宋体" w:hAnsi="宋体" w:eastAsia="宋体" w:cs="宋体"/>
          <w:color w:val="auto"/>
          <w:sz w:val="24"/>
          <w:szCs w:val="24"/>
          <w:highlight w:val="none"/>
          <w:lang w:eastAsia="zh-CN"/>
        </w:rPr>
        <w:t xml:space="preserve">：</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(一)评审过程中出现下列情形之一的，磋商小组应当启动异常低价响应审查程序</w:t>
      </w:r>
      <w:r>
        <w:rPr>
          <w:rFonts w:hint="eastAsia" w:ascii="宋体" w:hAnsi="宋体" w:eastAsia="宋体" w:cs="宋体"/>
          <w:color w:val="auto"/>
          <w:sz w:val="24"/>
          <w:szCs w:val="24"/>
          <w:highlight w:val="none"/>
          <w:lang w:eastAsia="zh-CN"/>
        </w:rPr>
        <w:t xml:space="preserve">：</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1.响应报价低于采购项目预算50%的，即响应报价&lt;采购项目预算×50%</w:t>
      </w:r>
      <w:r>
        <w:rPr>
          <w:rFonts w:hint="eastAsia" w:ascii="宋体" w:hAnsi="宋体" w:eastAsia="宋体" w:cs="宋体"/>
          <w:color w:val="auto"/>
          <w:sz w:val="24"/>
          <w:szCs w:val="24"/>
          <w:highlight w:val="none"/>
          <w:lang w:eastAsia="zh-CN"/>
        </w:rPr>
        <w:t xml:space="preserve">；</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2.响应报价低于采购项目最高限价45%的，即响应报价&lt;采购项目最高限价×45%</w:t>
      </w:r>
      <w:r>
        <w:rPr>
          <w:rFonts w:hint="eastAsia" w:ascii="宋体" w:hAnsi="宋体" w:eastAsia="宋体" w:cs="宋体"/>
          <w:color w:val="auto"/>
          <w:sz w:val="24"/>
          <w:szCs w:val="24"/>
          <w:highlight w:val="none"/>
          <w:lang w:eastAsia="zh-CN"/>
        </w:rPr>
        <w:t xml:space="preserve">；</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3.磋商小组认定的供应商报价过低、有可能影响产品质量或者不能诚信履约的其他情形。</w:t>
      </w:r>
      <w:r/>
    </w:p>
    <w:p>
      <w:pPr>
        <w:pStyle w:val="887"/>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87"/>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pStyle w:val="887"/>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887"/>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87"/>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887"/>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pStyle w:val="887"/>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pStyle w:val="887"/>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887"/>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887"/>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887"/>
        <w:ind w:firstLine="480"/>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过程中符合要求的供应商或者最后报价未超过采购预算的供应商不足3家的。</w:t>
      </w:r>
      <w:r/>
    </w:p>
    <w:p>
      <w:pPr>
        <w:pStyle w:val="887"/>
        <w:ind w:firstLine="480"/>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887"/>
        <w:ind w:firstLine="482"/>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38" w:name="_Toc16938551"/>
      <w:r/>
      <w:bookmarkStart w:id="139" w:name="_Toc20823307"/>
      <w:r/>
      <w:bookmarkStart w:id="140" w:name="_Toc513029235"/>
      <w:r/>
      <w:bookmarkStart w:id="141" w:name="_Toc120614219"/>
      <w:r>
        <w:rPr>
          <w:rFonts w:hint="eastAsia" w:ascii="宋体" w:hAnsi="宋体" w:eastAsia="宋体" w:cs="宋体"/>
          <w:b/>
          <w:color w:val="auto"/>
          <w:sz w:val="24"/>
          <w:szCs w:val="24"/>
          <w:highlight w:val="none"/>
        </w:rPr>
        <w:t xml:space="preserve">六、</w:t>
      </w:r>
      <w:bookmarkEnd w:id="138"/>
      <w:r/>
      <w:bookmarkEnd w:id="139"/>
      <w:r/>
      <w:bookmarkEnd w:id="140"/>
      <w:r/>
      <w:bookmarkEnd w:id="141"/>
      <w:r>
        <w:rPr>
          <w:rFonts w:hint="eastAsia" w:ascii="宋体" w:hAnsi="宋体" w:eastAsia="宋体" w:cs="宋体"/>
          <w:b/>
          <w:color w:val="auto"/>
          <w:sz w:val="24"/>
          <w:szCs w:val="24"/>
          <w:highlight w:val="none"/>
        </w:rPr>
        <w:t xml:space="preserve">成交</w:t>
      </w:r>
      <w:r/>
    </w:p>
    <w:p>
      <w:pPr>
        <w:pStyle w:val="887"/>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42" w:name="_Toc20823310"/>
      <w:r/>
      <w:bookmarkStart w:id="143" w:name="_Toc16938554"/>
      <w:r/>
      <w:bookmarkStart w:id="144" w:name="_Toc513029238"/>
      <w:r>
        <w:rPr>
          <w:rFonts w:hint="eastAsia" w:ascii="宋体" w:hAnsi="宋体" w:eastAsia="宋体" w:cs="宋体"/>
          <w:color w:val="auto"/>
          <w:sz w:val="24"/>
          <w:szCs w:val="24"/>
          <w:highlight w:val="none"/>
        </w:rPr>
        <w:t xml:space="preserve">28、</w:t>
      </w:r>
      <w:bookmarkEnd w:id="142"/>
      <w:r>
        <w:rPr>
          <w:rFonts w:hint="eastAsia" w:ascii="宋体" w:hAnsi="宋体" w:eastAsia="宋体" w:cs="宋体"/>
          <w:color w:val="auto"/>
          <w:sz w:val="24"/>
          <w:szCs w:val="24"/>
          <w:highlight w:val="none"/>
        </w:rPr>
        <w:t xml:space="preserve">确定</w:t>
      </w:r>
      <w:bookmarkEnd w:id="143"/>
      <w:r/>
      <w:bookmarkEnd w:id="144"/>
      <w:r>
        <w:rPr>
          <w:rFonts w:hint="eastAsia" w:ascii="宋体" w:hAnsi="宋体" w:eastAsia="宋体" w:cs="宋体"/>
          <w:color w:val="auto"/>
          <w:sz w:val="24"/>
          <w:szCs w:val="24"/>
          <w:highlight w:val="none"/>
        </w:rPr>
        <w:t xml:space="preserve">成交单位</w:t>
      </w:r>
      <w:r/>
    </w:p>
    <w:p>
      <w:pPr>
        <w:pStyle w:val="887"/>
        <w:ind w:firstLine="480"/>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olor w:val="000000"/>
          <w:sz w:val="24"/>
          <w:szCs w:val="24"/>
          <w:highlight w:val="none"/>
          <w:lang w:eastAsia="zh-CN"/>
        </w:rPr>
        <w:t xml:space="preserve">采购</w:t>
      </w:r>
      <w:r>
        <w:rPr>
          <w:rFonts w:hint="eastAsia" w:ascii="宋体" w:hAnsi="宋体"/>
          <w:color w:val="000000"/>
          <w:sz w:val="24"/>
          <w:szCs w:val="24"/>
          <w:highlight w:val="none"/>
        </w:rPr>
        <w:t xml:space="preserve">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“江苏政府采购网”、“盐城市政府采购网”发布成交结果公告，公告期限为1个工作日。</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bookmarkStart w:id="145" w:name="OLE_LINK3"/>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eastAsia="zh-CN"/>
        </w:rPr>
        <w:t xml:space="preserve">代理机构</w:t>
      </w:r>
      <w:bookmarkEnd w:id="145"/>
      <w:r>
        <w:rPr>
          <w:rFonts w:hint="eastAsia" w:ascii="宋体" w:hAnsi="宋体" w:eastAsia="宋体" w:cs="宋体"/>
          <w:color w:val="auto"/>
          <w:sz w:val="24"/>
          <w:szCs w:val="24"/>
          <w:highlight w:val="none"/>
        </w:rPr>
        <w:t xml:space="preserve">工作人员恶意串通的。</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46" w:name="_Toc200451960"/>
      <w:r>
        <w:rPr>
          <w:rFonts w:hint="eastAsia" w:ascii="宋体" w:hAnsi="宋体" w:eastAsia="宋体" w:cs="宋体"/>
          <w:color w:val="auto"/>
          <w:sz w:val="24"/>
          <w:szCs w:val="24"/>
          <w:highlight w:val="none"/>
        </w:rPr>
        <w:t xml:space="preserve">29、质疑处理</w:t>
      </w:r>
      <w:bookmarkEnd w:id="146"/>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文件提出质疑的，为收到</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文件公告期限届满之日。</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29.2.2对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过程提出质疑的，为各采购程序环节结束之日。</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负责答复。</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bookmarkStart w:id="147" w:name="OLE_LINK4"/>
      <w:r>
        <w:rPr>
          <w:rFonts w:hint="eastAsia" w:ascii="宋体" w:hAnsi="宋体" w:eastAsia="宋体" w:cs="宋体"/>
          <w:color w:val="auto"/>
          <w:sz w:val="24"/>
          <w:szCs w:val="24"/>
          <w:highlight w:val="none"/>
        </w:rPr>
        <w:t xml:space="preserve">及采购</w:t>
      </w:r>
      <w:r>
        <w:rPr>
          <w:rFonts w:hint="eastAsia" w:ascii="宋体" w:hAnsi="宋体" w:eastAsia="宋体" w:cs="宋体"/>
          <w:color w:val="auto"/>
          <w:sz w:val="24"/>
          <w:szCs w:val="24"/>
          <w:highlight w:val="none"/>
          <w:lang w:eastAsia="zh-CN"/>
        </w:rPr>
        <w:t xml:space="preserve">代理机构</w:t>
      </w:r>
      <w:bookmarkEnd w:id="147"/>
      <w:r>
        <w:rPr>
          <w:rFonts w:hint="eastAsia" w:ascii="宋体" w:hAnsi="宋体" w:eastAsia="宋体" w:cs="宋体"/>
          <w:color w:val="auto"/>
          <w:sz w:val="24"/>
          <w:szCs w:val="24"/>
          <w:highlight w:val="none"/>
        </w:rPr>
        <w:t xml:space="preserve">只接收以纸质原件形式送达的质疑,采购人和采购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质疑接收人及联系方式见本磋商文件第一章。</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87"/>
        <w:ind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48" w:name="_Toc20823308"/>
      <w:r/>
      <w:bookmarkStart w:id="149" w:name="_Toc120614220"/>
      <w:r/>
      <w:bookmarkStart w:id="150" w:name="_Toc16938552"/>
      <w:r/>
      <w:bookmarkStart w:id="151" w:name="_Toc513029236"/>
      <w:r>
        <w:rPr>
          <w:rFonts w:hint="eastAsia" w:ascii="宋体" w:hAnsi="宋体" w:eastAsia="宋体" w:cs="宋体"/>
          <w:b/>
          <w:color w:val="auto"/>
          <w:sz w:val="24"/>
          <w:szCs w:val="24"/>
          <w:highlight w:val="none"/>
        </w:rPr>
        <w:t xml:space="preserve">七、授予合同</w:t>
      </w:r>
      <w:bookmarkEnd w:id="148"/>
      <w:r/>
      <w:bookmarkEnd w:id="149"/>
      <w:r/>
      <w:bookmarkEnd w:id="150"/>
      <w:r/>
      <w:bookmarkEnd w:id="151"/>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52" w:name="_Toc513029237"/>
      <w:r/>
      <w:bookmarkStart w:id="153" w:name="_Toc16938553"/>
      <w:r/>
      <w:bookmarkStart w:id="154" w:name="_Toc20823309"/>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52"/>
      <w:r/>
      <w:bookmarkEnd w:id="153"/>
      <w:r/>
      <w:bookmarkEnd w:id="154"/>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31.l成交供应商应当在成交通知书发出之日起三十日内（原则上在15日内），按照磋商文件确定的事项与采购人签订政府采购合同。</w:t>
      </w:r>
      <w:r>
        <w:rPr>
          <w:rFonts w:hint="eastAsia" w:hAnsi="宋体" w:eastAsia="宋体" w:cs="宋体"/>
          <w:szCs w:val="28"/>
          <w:highlight w:val="none"/>
        </w:rPr>
        <w:t xml:space="preserve">合同签订后2个工作日内合同公示。</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 xml:space="preserve">包造成采购人损失的，成交供应商应承担相应赔偿责任。</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标的物的追加</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87"/>
        <w:numPr>
          <w:ilvl w:val="0"/>
          <w:numId w:val="0"/>
        </w:numPr>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887"/>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pageBreakBefore w:val="0"/>
        <w:spacing w:line="46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.3.1中小企业定义：</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w:t>
      </w:r>
      <w:r>
        <w:rPr>
          <w:rFonts w:hint="eastAsia" w:ascii="宋体" w:hAnsi="宋体" w:eastAsia="宋体" w:cs="宋体"/>
          <w:color w:val="auto"/>
          <w:sz w:val="24"/>
          <w:szCs w:val="24"/>
          <w:highlight w:val="none"/>
          <w:shd w:val="clear" w:color="auto" w:fill="auto"/>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 xml:space="preserve">公告</w:t>
      </w:r>
      <w:r>
        <w:rPr>
          <w:rFonts w:hint="eastAsia" w:ascii="宋体" w:hAnsi="宋体" w:eastAsia="宋体" w:cs="宋体"/>
          <w:color w:val="auto"/>
          <w:sz w:val="24"/>
          <w:szCs w:val="24"/>
          <w:highlight w:val="none"/>
          <w:shd w:val="clear" w:color="auto" w:fill="auto"/>
        </w:rPr>
        <w:t xml:space="preserve">》。</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887"/>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80"/>
        <w:jc w:val="both"/>
        <w:pageBreakBefore w:val="0"/>
        <w:spacing w:line="460" w:lineRule="exact"/>
        <w:widowControl w:val="off"/>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p>
    <w:p>
      <w:pPr>
        <w:ind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pStyle w:val="899"/>
        <w:ind w:left="0" w:firstLine="480"/>
        <w:pageBreakBefore w:val="0"/>
        <w:spacing w:after="0"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bookmarkStart w:id="155" w:name="OLE_LINK10"/>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bookmarkEnd w:id="155"/>
      <w:r/>
      <w:r/>
    </w:p>
    <w:p>
      <w:pPr>
        <w:ind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34、预付款制度</w:t>
      </w:r>
      <w:r/>
    </w:p>
    <w:p>
      <w:pPr>
        <w:ind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 30 </w:t>
      </w:r>
      <w:r>
        <w:rPr>
          <w:rFonts w:hint="eastAsia" w:ascii="宋体" w:hAnsi="宋体" w:eastAsia="宋体" w:cs="宋体"/>
          <w:color w:val="auto"/>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p>
    <w:p>
      <w:pPr>
        <w:pStyle w:val="899"/>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887"/>
        <w:ind w:firstLine="2642"/>
        <w:jc w:val="both"/>
        <w:keepLines w:val="0"/>
        <w:keepNext/>
        <w:pageBreakBefore w:val="0"/>
        <w:spacing w:before="205" w:beforeAutospacing="0" w:after="409" w:afterAutospacing="0"/>
        <w:widowControl w:val="off"/>
        <w:rPr>
          <w:color w:val="auto"/>
          <w:highlight w:val="none"/>
        </w:rPr>
      </w:pPr>
      <w:r>
        <w:rPr>
          <w:rFonts w:hint="eastAsia" w:ascii="黑体" w:hAnsi="宋体" w:eastAsia="黑体" w:cs="黑体"/>
          <w:color w:val="auto"/>
          <w:sz w:val="44"/>
          <w:szCs w:val="44"/>
          <w:highlight w:val="none"/>
        </w:rPr>
        <w:t xml:space="preserve">第三章  合同文本</w:t>
      </w:r>
      <w:r/>
    </w:p>
    <w:p>
      <w:pPr>
        <w:pStyle w:val="887"/>
        <w:ind w:firstLine="480"/>
        <w:jc w:val="both"/>
        <w:spacing w:beforeAutospacing="0" w:afterAutospacing="0" w:line="0" w:lineRule="atLeast"/>
        <w:rPr>
          <w:color w:val="auto"/>
          <w:highlight w:val="none"/>
        </w:rPr>
      </w:pPr>
      <w:r/>
      <w:bookmarkStart w:id="156" w:name="_Toc16938559"/>
      <w:r/>
      <w:bookmarkStart w:id="157" w:name="_Toc513029243"/>
      <w:r/>
      <w:bookmarkStart w:id="158" w:name="_Toc20823315"/>
      <w:r>
        <w:rPr>
          <w:rFonts w:hint="eastAsia" w:ascii="宋体" w:hAnsi="宋体" w:eastAsia="宋体" w:cs="宋体"/>
          <w:color w:val="auto"/>
          <w:highlight w:val="none"/>
        </w:rPr>
        <w:t xml:space="preserve">以下为成交后签定本项目合同的通用条款，成交供应商不得提出实质性的修改。</w:t>
      </w:r>
      <w:bookmarkEnd w:id="156"/>
      <w:r/>
      <w:bookmarkEnd w:id="157"/>
      <w:r/>
      <w:bookmarkEnd w:id="158"/>
      <w:r/>
      <w:r/>
    </w:p>
    <w:p>
      <w:pPr>
        <w:pStyle w:val="887"/>
        <w:ind w:firstLine="0"/>
        <w:jc w:val="center"/>
        <w:keepLines w:val="0"/>
        <w:keepNext w:val="0"/>
        <w:pageBreakBefore w:val="0"/>
        <w:spacing w:before="145" w:beforeAutospacing="0" w:after="145" w:afterAutospacing="0"/>
        <w:rPr>
          <w:rFonts w:hint="eastAsia" w:ascii="宋体" w:hAnsi="宋体" w:eastAsia="宋体" w:cs="宋体"/>
          <w:b/>
          <w:sz w:val="24"/>
          <w:szCs w:val="24"/>
        </w:rPr>
      </w:pPr>
      <w:r>
        <w:rPr>
          <w:color w:val="auto"/>
          <w:highlight w:val="none"/>
        </w:rPr>
        <w:t xml:space="preserve"> </w:t>
      </w:r>
      <w:bookmarkStart w:id="159" w:name="_Toc479757211"/>
      <w:r/>
      <w:bookmarkStart w:id="160" w:name="_Toc462564139"/>
      <w:r/>
      <w:bookmarkStart w:id="161" w:name="_Toc120614244"/>
      <w:r/>
      <w:bookmarkStart w:id="162" w:name="_Toc20823346"/>
      <w:r/>
      <w:bookmarkStart w:id="163" w:name="_Toc16938590"/>
      <w:r/>
      <w:bookmarkStart w:id="164" w:name="_Hlt16619369"/>
      <w:r/>
      <w:bookmarkStart w:id="165" w:name="_Hlt16619350"/>
      <w:r/>
      <w:r/>
    </w:p>
    <w:p>
      <w:pPr>
        <w:pStyle w:val="887"/>
        <w:jc w:val="center"/>
        <w:spacing w:before="145" w:beforeAutospacing="0" w:after="145" w:afterAutospacing="0"/>
        <w:outlineLvl w:val="0"/>
      </w:pPr>
      <w:r>
        <w:rPr>
          <w:rFonts w:hint="eastAsia" w:ascii="宋体" w:hAnsi="宋体" w:eastAsia="宋体" w:cs="宋体"/>
          <w:b/>
          <w:color w:val="000000"/>
          <w:sz w:val="30"/>
          <w:szCs w:val="30"/>
        </w:rPr>
        <w:t xml:space="preserve">盐城市政府采购合同（合同编号）</w:t>
      </w:r>
      <w:r/>
    </w:p>
    <w:p>
      <w:pPr>
        <w:pStyle w:val="887"/>
        <w:jc w:val="both"/>
        <w:keepLines w:val="0"/>
        <w:keepNext w:val="0"/>
        <w:pageBreakBefore w:val="0"/>
        <w:spacing w:beforeAutospacing="0" w:afterAutospacing="0" w:line="46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项目名称：                          </w:t>
      </w:r>
      <w:r/>
    </w:p>
    <w:p>
      <w:pPr>
        <w:pStyle w:val="887"/>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项目编号：</w:t>
      </w:r>
      <w:r/>
    </w:p>
    <w:p>
      <w:pPr>
        <w:pStyle w:val="887"/>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甲方：（买方）_________</w:t>
      </w:r>
      <w:r/>
    </w:p>
    <w:p>
      <w:pPr>
        <w:pStyle w:val="887"/>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乙方：（卖方）_________</w:t>
      </w:r>
      <w:r/>
    </w:p>
    <w:p>
      <w:pPr>
        <w:pStyle w:val="887"/>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项目竞争性磋商的结果，签署本合同。</w:t>
      </w:r>
      <w:r/>
    </w:p>
    <w:p>
      <w:pPr>
        <w:pStyle w:val="887"/>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b/>
          <w:color w:val="auto"/>
          <w:highlight w:val="none"/>
        </w:rPr>
        <w:t xml:space="preserve">一、合同内容</w:t>
      </w:r>
      <w:r/>
    </w:p>
    <w:p>
      <w:pPr>
        <w:pStyle w:val="887"/>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1.1 标的名称：</w:t>
      </w:r>
      <w:r/>
    </w:p>
    <w:p>
      <w:pPr>
        <w:pStyle w:val="887"/>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1.2 标的质量：</w:t>
      </w:r>
      <w:r/>
    </w:p>
    <w:p>
      <w:pPr>
        <w:pStyle w:val="887"/>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1.3 标的数量（规模）：</w:t>
      </w:r>
      <w:r/>
    </w:p>
    <w:p>
      <w:pPr>
        <w:pStyle w:val="887"/>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1.4 履行时间（期限）：</w:t>
      </w:r>
      <w:r/>
    </w:p>
    <w:p>
      <w:pPr>
        <w:pStyle w:val="887"/>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1.5 履行地点：</w:t>
      </w:r>
      <w:r/>
    </w:p>
    <w:p>
      <w:pPr>
        <w:pStyle w:val="887"/>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1.6 履行方式：</w:t>
      </w:r>
      <w:r/>
    </w:p>
    <w:p>
      <w:pPr>
        <w:pStyle w:val="887"/>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b/>
          <w:color w:val="auto"/>
          <w:highlight w:val="none"/>
        </w:rPr>
        <w:t xml:space="preserve">二、合同金额</w:t>
      </w:r>
      <w:r/>
    </w:p>
    <w:p>
      <w:pPr>
        <w:pStyle w:val="887"/>
        <w:ind w:left="410" w:hanging="410"/>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2.1本合同金额为（大写）：___________________________（____________元）人民币。</w:t>
      </w:r>
      <w:r/>
    </w:p>
    <w:p>
      <w:pPr>
        <w:pStyle w:val="887"/>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b/>
          <w:color w:val="auto"/>
          <w:highlight w:val="none"/>
        </w:rPr>
        <w:t xml:space="preserve">三、技术资料</w:t>
      </w:r>
      <w:r/>
    </w:p>
    <w:p>
      <w:pPr>
        <w:pStyle w:val="887"/>
        <w:ind w:left="410" w:hanging="410"/>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3.1乙方应按磋商文件规定的时间向甲方提供与合同标的有关的技术资料。</w:t>
      </w:r>
      <w:r/>
    </w:p>
    <w:p>
      <w:pPr>
        <w:pStyle w:val="887"/>
        <w:ind w:left="410" w:hanging="410"/>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7"/>
        <w:ind w:left="412" w:hanging="412"/>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b/>
          <w:color w:val="auto"/>
          <w:highlight w:val="none"/>
        </w:rPr>
        <w:t xml:space="preserve">四、知</w:t>
      </w:r>
      <w:r>
        <w:rPr>
          <w:rFonts w:hint="eastAsia" w:ascii="宋体" w:hAnsi="宋体" w:eastAsia="宋体" w:cs="宋体"/>
          <w:b/>
          <w:color w:val="auto"/>
          <w:highlight w:val="none"/>
          <w:shd w:val="clear" w:color="auto" w:fill="auto"/>
        </w:rPr>
        <w:t xml:space="preserve">识产权</w:t>
      </w:r>
      <w:r/>
    </w:p>
    <w:p>
      <w:pPr>
        <w:pStyle w:val="887"/>
        <w:ind w:left="408" w:hanging="408"/>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4.1乙方应保证甲方在使用、接受本合同标的或其任何一部分时不受第三方提出侵犯其专利权、版权、商标权和工业设计权等知识产权的起诉。一旦出现侵权，由乙方负全部责任。</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五、产权担保</w:t>
      </w:r>
      <w:r/>
    </w:p>
    <w:p>
      <w:pPr>
        <w:pStyle w:val="887"/>
        <w:ind w:left="408" w:hanging="408"/>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5.1 乙方保证所交付的合同标的的所有权完全属于乙方且无任何抵押、查封等产权瑕疵。</w:t>
      </w:r>
      <w:r/>
    </w:p>
    <w:p>
      <w:pPr>
        <w:pStyle w:val="887"/>
        <w:ind w:left="410" w:hanging="410"/>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六、履约保证金</w:t>
      </w:r>
      <w:r/>
    </w:p>
    <w:p>
      <w:pPr>
        <w:pStyle w:val="887"/>
        <w:ind w:left="408" w:hanging="408"/>
        <w:jc w:val="both"/>
        <w:keepLines w:val="0"/>
        <w:keepNext w:val="0"/>
        <w:pageBreakBefore w:val="0"/>
        <w:spacing w:beforeAutospacing="0" w:afterAutospacing="0" w:line="460" w:lineRule="exact"/>
        <w:widowControl w:val="off"/>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6.1 乙方交纳人民币_________元作为本合同的履约保证金。</w:t>
      </w:r>
      <w:r/>
    </w:p>
    <w:p>
      <w:pPr>
        <w:pStyle w:val="887"/>
        <w:ind w:left="210" w:firstLine="240"/>
        <w:jc w:val="both"/>
        <w:keepLines w:val="0"/>
        <w:keepNext w:val="0"/>
        <w:pageBreakBefore w:val="0"/>
        <w:spacing w:beforeAutospacing="0" w:afterAutospacing="0" w:line="46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（备注：不得超过合同金额的10%，采购人</w:t>
      </w:r>
      <w:r>
        <w:rPr>
          <w:rFonts w:hint="eastAsia" w:ascii="宋体" w:hAnsi="宋体" w:eastAsia="宋体" w:cs="宋体"/>
          <w:color w:val="auto"/>
          <w:highlight w:val="none"/>
          <w:shd w:val="clear" w:color="auto" w:fill="auto"/>
          <w:lang w:eastAsia="zh-CN"/>
        </w:rPr>
        <w:t xml:space="preserve">应当</w:t>
      </w:r>
      <w:r>
        <w:rPr>
          <w:rFonts w:hint="eastAsia" w:ascii="宋体" w:hAnsi="宋体" w:eastAsia="宋体" w:cs="宋体"/>
          <w:color w:val="auto"/>
          <w:highlight w:val="none"/>
          <w:shd w:val="clear" w:color="auto" w:fill="auto"/>
        </w:rPr>
        <w:t xml:space="preserve">对AA评级及以上政府采购供应商（需提供信用管理部门备案的第三方信用报告）免收履约保证金或降低履约保证金缴纳比例。</w:t>
      </w:r>
      <w:r>
        <w:rPr>
          <w:rFonts w:hint="eastAsia" w:ascii="宋体" w:hAnsi="宋体" w:eastAsia="宋体" w:cs="宋体"/>
          <w:color w:val="auto"/>
          <w:highlight w:val="none"/>
          <w:shd w:val="clear" w:color="auto" w:fill="auto"/>
          <w:lang w:eastAsia="zh-CN"/>
        </w:rPr>
        <w:t xml:space="preserve">）</w:t>
      </w:r>
      <w:r/>
    </w:p>
    <w:p>
      <w:pPr>
        <w:pStyle w:val="887"/>
        <w:jc w:val="both"/>
        <w:keepLines w:val="0"/>
        <w:keepNext w:val="0"/>
        <w:pageBreakBefore w:val="0"/>
        <w:spacing w:beforeAutospacing="0" w:afterAutospacing="0" w:line="46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6.</w:t>
      </w:r>
      <w:r>
        <w:rPr>
          <w:rFonts w:hint="eastAsia" w:ascii="宋体" w:hAnsi="宋体" w:eastAsia="宋体" w:cs="宋体"/>
          <w:color w:val="auto"/>
          <w:highlight w:val="none"/>
          <w:shd w:val="clear" w:color="auto" w:fill="auto"/>
          <w:lang w:val="en-US" w:eastAsia="zh-CN"/>
        </w:rPr>
        <w:t xml:space="preserve">2确需收取履约保证金的，</w:t>
      </w:r>
      <w:r>
        <w:rPr>
          <w:rFonts w:hint="eastAsia" w:ascii="宋体" w:hAnsi="宋体" w:eastAsia="宋体" w:cs="宋体"/>
          <w:color w:val="auto"/>
          <w:highlight w:val="none"/>
          <w:shd w:val="clear" w:color="auto" w:fill="auto"/>
          <w:lang w:eastAsia="zh-CN"/>
        </w:rPr>
        <w:t xml:space="preserve">履约保证金的缴纳形式：</w:t>
      </w:r>
      <w:r/>
    </w:p>
    <w:p>
      <w:pPr>
        <w:pStyle w:val="887"/>
        <w:jc w:val="both"/>
        <w:keepLines w:val="0"/>
        <w:keepNext w:val="0"/>
        <w:pageBreakBefore w:val="0"/>
        <w:spacing w:beforeAutospacing="0" w:afterAutospacing="0" w:line="46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6.2.1</w:t>
      </w:r>
      <w:r>
        <w:rPr>
          <w:rFonts w:hint="eastAsia" w:ascii="宋体" w:hAnsi="宋体" w:eastAsia="宋体" w:cs="宋体"/>
          <w:color w:val="auto"/>
          <w:highlight w:val="none"/>
          <w:shd w:val="clear" w:color="auto" w:fill="auto"/>
        </w:rPr>
        <w:t xml:space="preserve">供应商应当以支票、汇票、本票或者金融机构、担保机构出具的保函等非现金形式提交</w:t>
      </w:r>
      <w:r>
        <w:rPr>
          <w:rFonts w:hint="eastAsia" w:ascii="宋体" w:hAnsi="宋体" w:eastAsia="宋体" w:cs="宋体"/>
          <w:color w:val="auto"/>
          <w:highlight w:val="none"/>
          <w:shd w:val="clear" w:color="auto" w:fill="auto"/>
          <w:lang w:eastAsia="zh-CN"/>
        </w:rPr>
        <w:t xml:space="preserve">履约保证金</w:t>
      </w:r>
      <w:r>
        <w:rPr>
          <w:rFonts w:hint="eastAsia" w:ascii="宋体" w:hAnsi="宋体" w:eastAsia="宋体" w:cs="宋体"/>
          <w:color w:val="auto"/>
          <w:highlight w:val="none"/>
          <w:shd w:val="clear" w:color="auto" w:fill="auto"/>
        </w:rPr>
        <w:t xml:space="preserve">。依据《关于在全省政府采购领域推行电子履约保函（保险）的通知》，鼓励供应商自愿使用</w:t>
      </w:r>
      <w:r>
        <w:rPr>
          <w:rFonts w:hint="eastAsia" w:ascii="宋体" w:hAnsi="宋体" w:eastAsia="宋体" w:cs="宋体"/>
          <w:color w:val="auto"/>
          <w:highlight w:val="none"/>
          <w:shd w:val="clear" w:color="auto" w:fill="auto"/>
          <w:lang w:eastAsia="zh-CN"/>
        </w:rPr>
        <w:t xml:space="preserve">电子</w:t>
      </w:r>
      <w:r>
        <w:rPr>
          <w:rFonts w:hint="eastAsia" w:ascii="宋体" w:hAnsi="宋体" w:eastAsia="宋体" w:cs="宋体"/>
          <w:color w:val="auto"/>
          <w:highlight w:val="none"/>
          <w:shd w:val="clear" w:color="auto" w:fill="auto"/>
        </w:rPr>
        <w:t xml:space="preserve">履约保函（保险）代替缴纳履约保证金</w:t>
      </w:r>
      <w:r>
        <w:rPr>
          <w:rFonts w:hint="eastAsia" w:ascii="宋体" w:hAnsi="宋体" w:eastAsia="宋体" w:cs="宋体"/>
          <w:color w:val="auto"/>
          <w:highlight w:val="none"/>
          <w:shd w:val="clear" w:color="auto" w:fill="auto"/>
          <w:lang w:eastAsia="zh-CN"/>
        </w:rPr>
        <w:t xml:space="preserve">。</w:t>
      </w:r>
      <w:r/>
    </w:p>
    <w:p>
      <w:pPr>
        <w:pStyle w:val="887"/>
        <w:jc w:val="both"/>
        <w:keepLines w:val="0"/>
        <w:keepNext w:val="0"/>
        <w:pageBreakBefore w:val="0"/>
        <w:spacing w:beforeAutospacing="0" w:afterAutospacing="0" w:line="46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6.2.2 如以履约保函（保险）形式缴纳履约保证金，供应商可通过政府采购电子履约保函（保险）平台（www.jsdzbh.com）在线申请履约保函（保险）。</w:t>
      </w:r>
      <w:r/>
    </w:p>
    <w:p>
      <w:pPr>
        <w:pStyle w:val="887"/>
        <w:ind w:left="408" w:hanging="408"/>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6.</w:t>
      </w: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合同履行结束后，甲方应及时退还交纳的履约保证金。</w:t>
      </w:r>
      <w:r/>
    </w:p>
    <w:p>
      <w:pPr>
        <w:keepLines w:val="0"/>
        <w:keepNext w:val="0"/>
        <w:pageBreakBefore w:val="0"/>
        <w:spacing w:line="4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履约保证金的退还：</w:t>
      </w:r>
      <w:r/>
    </w:p>
    <w:p>
      <w:pPr>
        <w:keepLines w:val="0"/>
        <w:keepNext w:val="0"/>
        <w:pageBreakBefore w:val="0"/>
        <w:spacing w:line="4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.1方式：退还至投标人缴纳履约保证金的账户。如为保函，在到期时自行失效。</w:t>
      </w:r>
      <w:r/>
    </w:p>
    <w:p>
      <w:pPr>
        <w:keepLines w:val="0"/>
        <w:keepNext w:val="0"/>
        <w:pageBreakBefore w:val="0"/>
        <w:spacing w:line="4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.2时间：验收合格且采购人收到发票后30日内。</w:t>
      </w:r>
      <w:r/>
    </w:p>
    <w:p>
      <w:pPr>
        <w:keepLines w:val="0"/>
        <w:keepNext w:val="0"/>
        <w:pageBreakBefore w:val="0"/>
        <w:spacing w:line="4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.3条件：按合同要求全部履约完成并经采购人验收合格，且采购人收到中标人出具的发票。</w:t>
      </w:r>
      <w:r/>
    </w:p>
    <w:p>
      <w:pPr>
        <w:keepLines w:val="0"/>
        <w:keepNext w:val="0"/>
        <w:pageBreakBefore w:val="0"/>
        <w:spacing w:line="4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.4不予退还情形：</w:t>
      </w:r>
      <w:r/>
    </w:p>
    <w:p>
      <w:pPr>
        <w:keepLines w:val="0"/>
        <w:keepNext w:val="0"/>
        <w:pageBreakBefore w:val="0"/>
        <w:spacing w:line="4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除不可抗力情况外，投标人出现下列情形之一的，其履约保证金，招标人将视情节决定不予退还或部分不予退还。</w:t>
      </w:r>
      <w:r/>
    </w:p>
    <w:p>
      <w:pPr>
        <w:keepLines w:val="0"/>
        <w:keepNext w:val="0"/>
        <w:pageBreakBefore w:val="0"/>
        <w:spacing w:line="4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（1）中标人无正当理由拒绝签订合同的，或者在签订合同时向采购人提出附加条件或者更改合同实质性内容要求的；</w:t>
      </w:r>
      <w:r/>
    </w:p>
    <w:p>
      <w:pPr>
        <w:keepLines w:val="0"/>
        <w:keepNext w:val="0"/>
        <w:pageBreakBefore w:val="0"/>
        <w:spacing w:line="4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（2）中标人不履行与采购人订立的合同的；</w:t>
      </w:r>
      <w:r/>
    </w:p>
    <w:p>
      <w:pPr>
        <w:keepLines w:val="0"/>
        <w:keepNext w:val="0"/>
        <w:pageBreakBefore w:val="0"/>
        <w:spacing w:line="4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（3）中标人所供货物或服务不符合</w:t>
      </w:r>
      <w:r>
        <w:rPr>
          <w:rFonts w:hint="eastAsia" w:ascii="仿宋" w:hAnsi="仿宋" w:eastAsia="仿宋" w:cs="仿宋"/>
          <w:color w:val="auto"/>
          <w:sz w:val="28"/>
          <w:szCs w:val="28"/>
          <w:highlight w:val="none"/>
          <w:lang w:val="en-US" w:eastAsia="zh-CN"/>
        </w:rPr>
        <w:t xml:space="preserve">磋商</w:t>
      </w:r>
      <w:r>
        <w:rPr>
          <w:rFonts w:hint="eastAsia" w:ascii="宋体" w:hAnsi="宋体" w:eastAsia="宋体" w:cs="宋体"/>
          <w:color w:val="auto"/>
          <w:sz w:val="24"/>
          <w:highlight w:val="none"/>
          <w:shd w:val="clear" w:color="auto" w:fill="auto"/>
        </w:rPr>
        <w:t xml:space="preserve">文件规定要求的；</w:t>
      </w:r>
      <w:r/>
    </w:p>
    <w:p>
      <w:pPr>
        <w:keepLines w:val="0"/>
        <w:keepNext w:val="0"/>
        <w:pageBreakBefore w:val="0"/>
        <w:spacing w:line="4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（4）中标人采取欺骗、弄虚作假方式投标的或与其它投标人串通投标的；</w:t>
      </w:r>
      <w:r/>
    </w:p>
    <w:p>
      <w:pPr>
        <w:keepLines w:val="0"/>
        <w:keepNext w:val="0"/>
        <w:pageBreakBefore w:val="0"/>
        <w:spacing w:line="4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（5）中标人将合同内容转包、违法分包的；</w:t>
      </w:r>
      <w:r/>
    </w:p>
    <w:p>
      <w:pPr>
        <w:keepLines w:val="0"/>
        <w:keepNext w:val="0"/>
        <w:pageBreakBefore w:val="0"/>
        <w:spacing w:line="4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（6）中标人故意捏造事实或伪造证明材料，进行虚假恶意投诉或反映的。</w:t>
      </w:r>
      <w:r/>
    </w:p>
    <w:p>
      <w:pPr>
        <w:keepLines w:val="0"/>
        <w:keepNext w:val="0"/>
        <w:pageBreakBefore w:val="0"/>
        <w:spacing w:line="4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七、合同转包或分包</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7.1乙方不得将合同标的转包给他人履行。</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7.2乙方不得将合同标的分包给他人履行。</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7.3乙方如有转包或未经甲方同意的分包行为，甲方有权解除合同。</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八、合同款项支付</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8.1合同款项的支付方式及进度安排</w:t>
      </w:r>
      <w:r/>
    </w:p>
    <w:p>
      <w:pPr>
        <w:pStyle w:val="887"/>
        <w:ind w:firstLine="480"/>
        <w:jc w:val="both"/>
        <w:keepLines w:val="0"/>
        <w:keepNext w:val="0"/>
        <w:pageBreakBefore w:val="0"/>
        <w:spacing w:beforeAutospacing="0" w:afterAutospacing="0" w:line="460" w:lineRule="exact"/>
        <w:widowControl w:val="off"/>
        <w:rPr>
          <w:rFonts w:hint="eastAsia" w:ascii="宋体" w:hAnsi="宋体" w:eastAsia="宋体" w:cs="宋体"/>
          <w:b w:val="0"/>
          <w:bCs/>
          <w:color w:val="auto"/>
          <w:highlight w:val="none"/>
          <w:shd w:val="clear" w:color="auto" w:fill="auto"/>
        </w:rPr>
      </w:pPr>
      <w:r>
        <w:rPr>
          <w:rFonts w:hint="eastAsia" w:ascii="宋体" w:hAnsi="宋体" w:eastAsia="宋体" w:cs="宋体"/>
          <w:b w:val="0"/>
          <w:bCs/>
          <w:color w:val="auto"/>
          <w:highlight w:val="none"/>
          <w:shd w:val="clear" w:color="auto" w:fill="auto"/>
        </w:rPr>
        <w:t xml:space="preserve">本项目落实预付款制度，预付款比例为30%。在签订合同时，</w:t>
      </w:r>
      <w:r>
        <w:rPr>
          <w:rFonts w:hint="eastAsia" w:ascii="宋体" w:hAnsi="宋体" w:eastAsia="宋体" w:cs="宋体"/>
          <w:b w:val="0"/>
          <w:bCs/>
          <w:color w:val="auto"/>
          <w:highlight w:val="none"/>
          <w:shd w:val="clear" w:color="auto" w:fill="auto"/>
          <w:lang w:eastAsia="zh-CN"/>
        </w:rPr>
        <w:t xml:space="preserve">成交</w:t>
      </w:r>
      <w:r>
        <w:rPr>
          <w:rFonts w:hint="eastAsia" w:ascii="宋体" w:hAnsi="宋体" w:eastAsia="宋体" w:cs="宋体"/>
          <w:b w:val="0"/>
          <w:bCs/>
          <w:color w:val="auto"/>
          <w:highlight w:val="none"/>
          <w:shd w:val="clear" w:color="auto" w:fill="auto"/>
        </w:rPr>
        <w:t xml:space="preserve">供应商明确书面表示无需预付款或者主动要求降低预付款比例的，采购人可不适用前述规定。</w:t>
      </w:r>
      <w:r/>
    </w:p>
    <w:p>
      <w:pPr>
        <w:pStyle w:val="887"/>
        <w:ind w:firstLine="480"/>
        <w:jc w:val="both"/>
        <w:keepLines w:val="0"/>
        <w:keepNext w:val="0"/>
        <w:pageBreakBefore w:val="0"/>
        <w:spacing w:beforeAutospacing="0" w:afterAutospacing="0" w:line="460" w:lineRule="exact"/>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提交服务方案后付</w:t>
      </w:r>
      <w:r>
        <w:rPr>
          <w:rFonts w:hint="eastAsia" w:ascii="宋体" w:hAnsi="宋体" w:eastAsia="宋体" w:cs="宋体"/>
          <w:b w:val="0"/>
          <w:bCs/>
          <w:sz w:val="24"/>
          <w:szCs w:val="24"/>
          <w:lang w:eastAsia="zh-CN"/>
        </w:rPr>
        <w:t xml:space="preserve">至</w:t>
      </w:r>
      <w:r>
        <w:rPr>
          <w:rFonts w:hint="eastAsia" w:ascii="宋体" w:hAnsi="宋体" w:eastAsia="宋体" w:cs="宋体"/>
          <w:b w:val="0"/>
          <w:bCs/>
          <w:sz w:val="24"/>
          <w:szCs w:val="24"/>
        </w:rPr>
        <w:t xml:space="preserve">合同额40%</w:t>
      </w:r>
      <w:r>
        <w:rPr>
          <w:rFonts w:hint="eastAsia" w:ascii="宋体" w:hAnsi="宋体" w:eastAsia="宋体" w:cs="宋体"/>
          <w:b w:val="0"/>
          <w:bCs w:val="0"/>
          <w:color w:val="auto"/>
          <w:sz w:val="24"/>
          <w:szCs w:val="24"/>
          <w:highlight w:val="none"/>
          <w:lang w:eastAsia="zh-CN"/>
        </w:rPr>
        <w:t xml:space="preserve">(包括以前支付)</w:t>
      </w:r>
      <w:r>
        <w:rPr>
          <w:rFonts w:hint="eastAsia" w:ascii="宋体" w:hAnsi="宋体" w:eastAsia="宋体" w:cs="宋体"/>
          <w:b w:val="0"/>
          <w:bCs/>
          <w:sz w:val="24"/>
          <w:szCs w:val="24"/>
          <w:lang w:eastAsia="zh-CN"/>
        </w:rPr>
        <w:t xml:space="preserve">；出具国债资金使用相关专项报告后支付合同额40%；国债项目资金使用验收合格后，支付剩余合同额的20%。</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九、税费</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9.1本合同执行中相关的一切税费均由乙方负担。</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十、项目验收</w:t>
      </w:r>
      <w:r/>
    </w:p>
    <w:p>
      <w:pPr>
        <w:pStyle w:val="887"/>
        <w:ind w:left="480" w:hanging="480"/>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10.1 甲方依法组织履约验收工作。</w:t>
      </w:r>
      <w:r/>
    </w:p>
    <w:p>
      <w:pPr>
        <w:pStyle w:val="887"/>
        <w:ind w:left="480" w:hanging="480"/>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7"/>
        <w:ind w:left="480" w:hanging="480"/>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10.3 对于实际使用人和甲方分离的项目，甲方邀请实际使用人参与验收。</w:t>
      </w:r>
      <w:r/>
    </w:p>
    <w:p>
      <w:pPr>
        <w:pStyle w:val="887"/>
        <w:ind w:left="480" w:hanging="480"/>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10.4 如有必要，甲方邀请参加本项目的其他供应商或第三方专业机构及专家参与验收，相关意见将作为验收书的参考资料。</w:t>
      </w:r>
      <w:r/>
    </w:p>
    <w:p>
      <w:pPr>
        <w:pStyle w:val="887"/>
        <w:ind w:left="480" w:hanging="480"/>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7"/>
        <w:ind w:left="480" w:hanging="480"/>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十一、违约责任</w:t>
      </w:r>
      <w:r/>
    </w:p>
    <w:p>
      <w:pPr>
        <w:pStyle w:val="887"/>
        <w:ind w:left="410" w:hanging="410"/>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11.1甲方无正当理由拒绝接受乙方提供的合同标的的，甲方向乙方偿付拒绝接受合同价款总值</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的违约金。</w:t>
      </w:r>
      <w:r/>
    </w:p>
    <w:p>
      <w:pPr>
        <w:pStyle w:val="887"/>
        <w:ind w:left="410" w:hanging="410"/>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11.2 甲方无故逾期验收和办理合同款项支付手续的,甲方应按逾期付款总额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每日向乙方支付违约金。</w:t>
      </w:r>
      <w:r/>
    </w:p>
    <w:p>
      <w:pPr>
        <w:pStyle w:val="887"/>
        <w:ind w:left="410" w:hanging="410"/>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的违约金，如造成甲方损失超过违约金的，超出部分由乙方继续承担赔偿责任。 </w:t>
      </w:r>
      <w:r/>
    </w:p>
    <w:p>
      <w:pPr>
        <w:pStyle w:val="887"/>
        <w:ind w:left="410" w:hanging="410"/>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11.4 乙方交付合同标的的标准不符合合同规定及磋商文件规定标准的，甲方有权拒绝接受合同标的，并可单方面解除合同。</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十二、不可抗力事件处理</w:t>
      </w:r>
      <w:r/>
    </w:p>
    <w:p>
      <w:pPr>
        <w:pStyle w:val="887"/>
        <w:ind w:left="480" w:hanging="480"/>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12.1 在合同有效期内，任何一方因不可抗力事件导致不能履行合同，则合同履行期可延长，其延长期与不可抗力影响 期相同。</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12.2 不可抗力事件发生后，应立即通知对方，并寄送有关权威机构出具的证明。</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12.3 不可抗力事件延续120天以上，双方应通过友好协商，确定是否继续履行合同。</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十三、解决争议的方法</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13.1双方在签订、履行合同中所发生的一切争议，应通过友好协商解决。如协商不成，由甲方住所地人民法院管辖。</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十四、合同生效及其它</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14.1 合同经双方法定代表人或授权委托代表人签字并加盖单位公章后生效。</w:t>
      </w:r>
      <w:r/>
    </w:p>
    <w:p>
      <w:pPr>
        <w:pStyle w:val="887"/>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14.2本合同未尽事宜，遵照《民法典》、《政府采购法》有关条文执行。</w:t>
      </w:r>
      <w:r/>
    </w:p>
    <w:p>
      <w:pPr>
        <w:pStyle w:val="887"/>
        <w:ind w:left="480" w:hanging="480"/>
        <w:jc w:val="both"/>
        <w:keepLines w:val="0"/>
        <w:keepNext w:val="0"/>
        <w:pageBreakBefore w:val="0"/>
        <w:spacing w:beforeAutospacing="0" w:afterAutospacing="0" w:line="46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14.3 本合同正本一式三份，具有同等法律效力，甲方、乙方及财政监管部门各执一份。</w:t>
      </w:r>
      <w:r/>
    </w:p>
    <w:p>
      <w:pPr>
        <w:pStyle w:val="887"/>
        <w:ind w:left="480" w:hanging="480"/>
        <w:jc w:val="both"/>
        <w:keepLines w:val="0"/>
        <w:keepNext w:val="0"/>
        <w:pageBreakBefore w:val="0"/>
        <w:spacing w:beforeAutospacing="0" w:afterAutospacing="0" w:line="46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87"/>
        <w:ind w:firstLine="480"/>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甲方：               </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乙方： </w:t>
      </w:r>
      <w:r/>
    </w:p>
    <w:p>
      <w:pPr>
        <w:pStyle w:val="887"/>
        <w:ind w:firstLine="480"/>
        <w:jc w:val="both"/>
        <w:keepLines w:val="0"/>
        <w:keepNext w:val="0"/>
        <w:pageBreakBefore w:val="0"/>
        <w:spacing w:beforeAutospacing="0" w:afterAutospacing="0" w:line="46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地址： </w:t>
      </w:r>
      <w:r/>
    </w:p>
    <w:p>
      <w:pPr>
        <w:pStyle w:val="887"/>
        <w:ind w:firstLine="480"/>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法定代表人或授权代表：        法定代表人或授权代表：</w:t>
      </w:r>
      <w:r/>
    </w:p>
    <w:p>
      <w:pPr>
        <w:pStyle w:val="887"/>
        <w:ind w:firstLine="480"/>
        <w:jc w:val="both"/>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联系电话：             </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联系电话：          </w:t>
      </w:r>
      <w:r/>
    </w:p>
    <w:p>
      <w:pPr>
        <w:pStyle w:val="887"/>
        <w:ind w:firstLine="420"/>
        <w:jc w:val="both"/>
        <w:keepLines w:val="0"/>
        <w:keepNext w:val="0"/>
        <w:pageBreakBefore w:val="0"/>
        <w:spacing w:beforeAutospacing="0" w:afterAutospacing="0" w:line="460" w:lineRule="exact"/>
        <w:widowControl w:val="off"/>
        <w:rPr>
          <w:rFonts w:ascii="Times New Roman" w:hAnsi="Times New Roman"/>
          <w:color w:val="auto"/>
          <w:sz w:val="21"/>
          <w:szCs w:val="21"/>
          <w:highlight w:val="none"/>
          <w:shd w:val="clear" w:color="auto" w:fill="auto"/>
        </w:rPr>
      </w:pPr>
      <w:r>
        <w:rPr>
          <w:rFonts w:ascii="Times New Roman" w:hAnsi="Times New Roman"/>
          <w:color w:val="auto"/>
          <w:sz w:val="21"/>
          <w:szCs w:val="21"/>
          <w:highlight w:val="none"/>
          <w:shd w:val="clear" w:color="auto" w:fill="auto"/>
        </w:rPr>
        <w:t xml:space="preserve">                                         </w:t>
      </w:r>
      <w:r/>
    </w:p>
    <w:p>
      <w:pPr>
        <w:pStyle w:val="887"/>
        <w:ind w:firstLine="3840"/>
        <w:jc w:val="both"/>
        <w:keepLines w:val="0"/>
        <w:keepNext w:val="0"/>
        <w:pageBreakBefore w:val="0"/>
        <w:spacing w:beforeAutospacing="0" w:afterAutospacing="0" w:line="460" w:lineRule="exact"/>
        <w:widowControl w:val="off"/>
        <w:rPr>
          <w:rFonts w:hint="eastAsia" w:ascii="宋体" w:hAnsi="宋体" w:eastAsia="宋体" w:cs="宋体"/>
          <w:color w:val="000000"/>
        </w:rPr>
      </w:pPr>
      <w:r>
        <w:rPr>
          <w:rFonts w:hint="eastAsia" w:ascii="宋体" w:hAnsi="宋体" w:eastAsia="宋体" w:cs="宋体"/>
          <w:color w:val="000000"/>
        </w:rPr>
        <w:t xml:space="preserve">  签订日期：   年    月   日</w:t>
      </w:r>
      <w:r/>
    </w:p>
    <w:p>
      <w:pPr>
        <w:pStyle w:val="887"/>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宋体" w:hAnsi="宋体" w:eastAsia="宋体" w:cs="宋体"/>
          <w:color w:val="000000"/>
        </w:rPr>
        <w:br w:type="page" w:clear="all"/>
      </w:r>
      <w:r/>
    </w:p>
    <w:p>
      <w:pPr>
        <w:pStyle w:val="887"/>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59"/>
      <w:r>
        <w:rPr>
          <w:rFonts w:hint="eastAsia" w:ascii="黑体" w:hAnsi="宋体" w:eastAsia="黑体" w:cs="黑体"/>
          <w:color w:val="auto"/>
          <w:sz w:val="44"/>
          <w:szCs w:val="44"/>
          <w:highlight w:val="none"/>
        </w:rPr>
        <w:t xml:space="preserve">四章 </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采购需求</w:t>
      </w:r>
      <w:bookmarkEnd w:id="160"/>
      <w:r/>
      <w:bookmarkEnd w:id="161"/>
      <w:r/>
      <w:bookmarkEnd w:id="162"/>
      <w:r/>
      <w:bookmarkEnd w:id="163"/>
      <w:r/>
      <w:bookmarkStart w:id="166" w:name="_Toc49090575"/>
      <w:r/>
      <w:bookmarkEnd w:id="166"/>
      <w:r/>
      <w:bookmarkStart w:id="167" w:name="_Toc26554093"/>
      <w:r/>
      <w:bookmarkEnd w:id="167"/>
      <w:r/>
      <w:r/>
    </w:p>
    <w:p>
      <w:pPr>
        <w:pStyle w:val="887"/>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项目属性：服务类项目</w:t>
      </w:r>
      <w:r/>
    </w:p>
    <w:p>
      <w:pPr>
        <w:pStyle w:val="887"/>
        <w:jc w:val="both"/>
        <w:pageBreakBefore w:val="0"/>
        <w:spacing w:beforeAutospacing="0" w:afterAutospacing="0" w:line="440" w:lineRule="exact"/>
        <w:widowControl w:val="off"/>
        <w:rPr>
          <w:rFonts w:hint="eastAsia" w:ascii="宋体" w:hAnsi="宋体" w:eastAsia="宋体" w:cs="宋体"/>
          <w:b/>
          <w:bCs w:val="0"/>
          <w:sz w:val="24"/>
          <w:szCs w:val="24"/>
        </w:rPr>
      </w:pPr>
      <w:r/>
      <w:bookmarkStart w:id="168" w:name="_Toc120614281"/>
      <w:r>
        <w:rPr>
          <w:rFonts w:hint="eastAsia" w:ascii="宋体" w:hAnsi="宋体" w:eastAsia="宋体" w:cs="宋体"/>
          <w:b/>
          <w:bCs w:val="0"/>
          <w:sz w:val="24"/>
          <w:szCs w:val="24"/>
        </w:rPr>
        <w:t xml:space="preserve">一、</w:t>
      </w:r>
      <w:r>
        <w:rPr>
          <w:rFonts w:hint="eastAsia" w:ascii="宋体" w:hAnsi="宋体" w:eastAsia="宋体" w:cs="宋体"/>
          <w:b/>
          <w:bCs w:val="0"/>
          <w:sz w:val="24"/>
          <w:szCs w:val="24"/>
        </w:rPr>
        <w:t xml:space="preserve">项目基本信息</w:t>
      </w:r>
      <w:r/>
    </w:p>
    <w:p>
      <w:pPr>
        <w:pStyle w:val="881"/>
        <w:ind w:firstLine="480"/>
        <w:pageBreakBefore w:val="0"/>
        <w:spacing w:after="0" w:line="440" w:lineRule="exact"/>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项目名称：</w:t>
      </w:r>
      <w:r>
        <w:rPr>
          <w:rFonts w:hint="eastAsia" w:ascii="宋体" w:hAnsi="宋体" w:eastAsia="宋体" w:cs="宋体"/>
          <w:b w:val="0"/>
          <w:bCs/>
          <w:sz w:val="24"/>
          <w:szCs w:val="24"/>
          <w:lang w:eastAsia="zh-CN"/>
        </w:rPr>
        <w:t xml:space="preserve">射阳县住房和城乡建设局2025年超长期特别国债项目审计服务咨询</w:t>
      </w:r>
      <w:r/>
    </w:p>
    <w:p>
      <w:pPr>
        <w:pStyle w:val="881"/>
        <w:ind w:firstLine="480"/>
        <w:pageBreakBefore w:val="0"/>
        <w:spacing w:after="0" w:line="440" w:lineRule="exact"/>
        <w:widowControl w:val="off"/>
        <w:rPr>
          <w:rFonts w:hint="eastAsia" w:ascii="宋体" w:hAnsi="宋体" w:eastAsia="宋体" w:cs="宋体"/>
          <w:b w:val="0"/>
          <w:bCs/>
          <w:sz w:val="24"/>
          <w:szCs w:val="24"/>
          <w:lang w:eastAsia="zh-CN"/>
        </w:rPr>
      </w:pPr>
      <w:r>
        <w:rPr>
          <w:rFonts w:hint="eastAsia" w:ascii="宋体" w:hAnsi="宋体" w:eastAsia="宋体" w:cs="宋体"/>
          <w:i w:val="0"/>
          <w:iCs w:val="0"/>
          <w:caps w:val="0"/>
          <w:color w:val="auto"/>
          <w:spacing w:val="0"/>
          <w:sz w:val="24"/>
          <w:szCs w:val="24"/>
          <w:highlight w:val="none"/>
          <w:shd w:val="clear" w:color="auto" w:fill="auto"/>
        </w:rPr>
        <w:t xml:space="preserve">履行期限</w:t>
      </w:r>
      <w:r>
        <w:rPr>
          <w:rFonts w:hint="eastAsia" w:ascii="宋体" w:hAnsi="宋体" w:eastAsia="宋体" w:cs="宋体"/>
          <w:b w:val="0"/>
          <w:bCs/>
          <w:sz w:val="24"/>
          <w:szCs w:val="24"/>
        </w:rPr>
        <w:t xml:space="preserve">：2026年12月31日</w:t>
      </w:r>
      <w:r>
        <w:rPr>
          <w:rFonts w:hint="eastAsia" w:ascii="宋体" w:hAnsi="宋体" w:eastAsia="宋体" w:cs="宋体"/>
          <w:b w:val="0"/>
          <w:bCs/>
          <w:sz w:val="24"/>
          <w:szCs w:val="24"/>
          <w:lang w:eastAsia="zh-CN"/>
        </w:rPr>
        <w:t xml:space="preserve">前</w:t>
      </w:r>
      <w:r>
        <w:rPr>
          <w:rFonts w:hint="eastAsia" w:ascii="宋体" w:hAnsi="宋体" w:eastAsia="宋体" w:cs="宋体"/>
          <w:b w:val="0"/>
          <w:bCs/>
          <w:sz w:val="24"/>
          <w:szCs w:val="24"/>
        </w:rPr>
        <w:t xml:space="preserve">项目通过上级最终验收并完成总结归档</w:t>
      </w:r>
      <w:r>
        <w:rPr>
          <w:rFonts w:hint="eastAsia" w:ascii="宋体" w:hAnsi="宋体" w:eastAsia="宋体" w:cs="宋体"/>
          <w:b w:val="0"/>
          <w:bCs/>
          <w:sz w:val="24"/>
          <w:szCs w:val="24"/>
          <w:lang w:eastAsia="zh-CN"/>
        </w:rPr>
        <w:t xml:space="preserve">。</w:t>
      </w:r>
      <w:r/>
    </w:p>
    <w:p>
      <w:pPr>
        <w:pStyle w:val="881"/>
        <w:ind w:firstLine="480"/>
        <w:pageBreakBefore w:val="0"/>
        <w:spacing w:after="0" w:line="440" w:lineRule="exact"/>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服务目标：依托专业化辅导与全流程跟踪，助力射阳县住建局及相关单位精准落实国家超长期特别国债政策，建立合规高效的项目管理与资金使用体系，保障项目执行规范、资金安全可控，确保项目高标准通过上级验收，充分发挥超长期特别国债对地方发展的支撑作用</w:t>
      </w:r>
      <w:r>
        <w:rPr>
          <w:rFonts w:hint="eastAsia" w:ascii="宋体" w:hAnsi="宋体" w:eastAsia="宋体" w:cs="宋体"/>
          <w:b w:val="0"/>
          <w:bCs/>
          <w:sz w:val="24"/>
          <w:szCs w:val="24"/>
          <w:lang w:eastAsia="zh-CN"/>
        </w:rPr>
        <w:t xml:space="preserve">。</w:t>
      </w:r>
      <w:r/>
    </w:p>
    <w:p>
      <w:pPr>
        <w:pStyle w:val="871"/>
        <w:numPr>
          <w:ilvl w:val="0"/>
          <w:numId w:val="0"/>
        </w:numPr>
        <w:pageBreakBefore w:val="0"/>
        <w:spacing w:before="0" w:after="0" w:line="44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二、</w:t>
      </w:r>
      <w:r>
        <w:rPr>
          <w:rFonts w:hint="eastAsia" w:ascii="宋体" w:hAnsi="宋体" w:eastAsia="宋体" w:cs="宋体"/>
          <w:b/>
          <w:bCs w:val="0"/>
          <w:sz w:val="24"/>
          <w:szCs w:val="24"/>
        </w:rPr>
        <w:t xml:space="preserve">核心服务要求</w:t>
      </w:r>
      <w:r/>
    </w:p>
    <w:p>
      <w:pPr>
        <w:pStyle w:val="881"/>
        <w:numPr>
          <w:ilvl w:val="0"/>
          <w:numId w:val="0"/>
        </w:numPr>
        <w:ind w:left="0" w:firstLine="456"/>
        <w:pageBreakBefore w:val="0"/>
        <w:spacing w:after="0" w:line="440" w:lineRule="exact"/>
        <w:widowControl w:val="off"/>
        <w:rPr>
          <w:rFonts w:hint="eastAsia" w:ascii="宋体" w:hAnsi="宋体" w:eastAsia="宋体" w:cs="宋体"/>
          <w:b w:val="0"/>
          <w:bCs/>
          <w:sz w:val="24"/>
          <w:szCs w:val="24"/>
        </w:rPr>
      </w:pPr>
      <w:r>
        <w:rPr>
          <w:rFonts w:hint="eastAsia" w:ascii="宋体" w:hAnsi="宋体" w:eastAsia="宋体" w:cs="宋体"/>
          <w:b w:val="0"/>
          <w:bCs/>
          <w:spacing w:val="-6"/>
          <w:sz w:val="24"/>
          <w:szCs w:val="24"/>
        </w:rPr>
        <w:t xml:space="preserve">（一）</w:t>
      </w:r>
      <w:r>
        <w:rPr>
          <w:rStyle w:val="907"/>
          <w:rFonts w:hint="eastAsia" w:ascii="宋体" w:hAnsi="宋体" w:eastAsia="宋体" w:cs="宋体"/>
          <w:b w:val="0"/>
          <w:bCs/>
          <w:sz w:val="24"/>
          <w:szCs w:val="24"/>
        </w:rPr>
        <w:t xml:space="preserve">政策解读与体系搭建</w:t>
      </w:r>
      <w:r/>
    </w:p>
    <w:p>
      <w:pPr>
        <w:pStyle w:val="881"/>
        <w:ind w:firstLine="480"/>
        <w:pageBreakBefore w:val="0"/>
        <w:spacing w:after="0"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政策解读服务</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组织专题培训，精准解读国家及省级超长期特别国债资金管理、项目验收相关核心政策。</w:t>
      </w:r>
      <w:r/>
    </w:p>
    <w:p>
      <w:pPr>
        <w:pStyle w:val="881"/>
        <w:ind w:firstLine="480"/>
        <w:pageBreakBefore w:val="0"/>
        <w:spacing w:after="0"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体系搭建</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明确各相关单位职责分工，规范项目立项、招标采购、合同管理等关键环节流程。</w:t>
      </w:r>
      <w:r/>
    </w:p>
    <w:p>
      <w:pPr>
        <w:pStyle w:val="881"/>
        <w:ind w:firstLine="480"/>
        <w:pageBreakBefore w:val="0"/>
        <w:spacing w:after="0"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台账标准化建设</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辅导建立项目进度台账、资金使用</w:t>
      </w:r>
      <w:r>
        <w:rPr>
          <w:rFonts w:hint="eastAsia" w:ascii="宋体" w:hAnsi="宋体" w:eastAsia="宋体" w:cs="宋体"/>
          <w:b w:val="0"/>
          <w:bCs/>
          <w:sz w:val="24"/>
          <w:szCs w:val="24"/>
          <w:lang w:val="en-US" w:eastAsia="zh-CN"/>
        </w:rPr>
        <w:t xml:space="preserve">等相关</w:t>
      </w:r>
      <w:r>
        <w:rPr>
          <w:rFonts w:hint="eastAsia" w:ascii="宋体" w:hAnsi="宋体" w:eastAsia="宋体" w:cs="宋体"/>
          <w:b w:val="0"/>
          <w:bCs/>
          <w:sz w:val="24"/>
          <w:szCs w:val="24"/>
        </w:rPr>
        <w:t xml:space="preserve">台账，明确台账要素</w:t>
      </w:r>
      <w:r>
        <w:rPr>
          <w:rFonts w:hint="eastAsia" w:ascii="宋体" w:hAnsi="宋体" w:eastAsia="宋体" w:cs="宋体"/>
          <w:b w:val="0"/>
          <w:bCs/>
          <w:spacing w:val="-6"/>
          <w:sz w:val="24"/>
          <w:szCs w:val="24"/>
        </w:rPr>
        <w:t xml:space="preserve">，确保台账数据可追溯、与项目进度精准</w:t>
      </w:r>
      <w:r>
        <w:rPr>
          <w:rFonts w:hint="eastAsia" w:ascii="宋体" w:hAnsi="宋体" w:eastAsia="宋体" w:cs="宋体"/>
          <w:b w:val="0"/>
          <w:bCs/>
          <w:sz w:val="24"/>
          <w:szCs w:val="24"/>
        </w:rPr>
        <w:t xml:space="preserve">匹配。</w:t>
      </w:r>
      <w:r/>
    </w:p>
    <w:p>
      <w:pPr>
        <w:pStyle w:val="881"/>
        <w:numPr>
          <w:ilvl w:val="0"/>
          <w:numId w:val="0"/>
        </w:numPr>
        <w:ind w:left="0" w:firstLine="456"/>
        <w:pageBreakBefore w:val="0"/>
        <w:spacing w:after="0" w:line="440" w:lineRule="exact"/>
        <w:widowControl w:val="off"/>
        <w:rPr>
          <w:rStyle w:val="907"/>
          <w:rFonts w:hint="eastAsia" w:ascii="宋体" w:hAnsi="宋体" w:eastAsia="宋体" w:cs="宋体"/>
          <w:b w:val="0"/>
          <w:bCs/>
          <w:sz w:val="24"/>
          <w:szCs w:val="24"/>
        </w:rPr>
      </w:pPr>
      <w:r>
        <w:rPr>
          <w:rFonts w:hint="eastAsia" w:ascii="宋体" w:hAnsi="宋体" w:eastAsia="宋体" w:cs="宋体"/>
          <w:b w:val="0"/>
          <w:bCs/>
          <w:spacing w:val="-6"/>
          <w:sz w:val="24"/>
          <w:szCs w:val="24"/>
        </w:rPr>
        <w:t xml:space="preserve">（二）</w:t>
      </w:r>
      <w:r>
        <w:rPr>
          <w:rStyle w:val="907"/>
          <w:rFonts w:hint="eastAsia" w:ascii="宋体" w:hAnsi="宋体" w:eastAsia="宋体" w:cs="宋体"/>
          <w:b w:val="0"/>
          <w:bCs/>
          <w:sz w:val="24"/>
          <w:szCs w:val="24"/>
        </w:rPr>
        <w:t xml:space="preserve">动态辅导与问题整改</w:t>
      </w:r>
      <w:r/>
    </w:p>
    <w:p>
      <w:pPr>
        <w:pStyle w:val="881"/>
        <w:ind w:firstLine="480"/>
        <w:pageBreakBefore w:val="0"/>
        <w:spacing w:after="0"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超长期国债相关系统辅助填报。服务方需要把握相关部门对超长期特别国债的系统填报的各项要求，及时、准确地辅助填写好超长期特别国债的系统，并及时反馈系统填报出现的各项问题和应对措施。</w:t>
      </w:r>
      <w:r/>
    </w:p>
    <w:p>
      <w:pPr>
        <w:pStyle w:val="881"/>
        <w:ind w:firstLine="480"/>
        <w:pageBreakBefore w:val="0"/>
        <w:spacing w:after="0"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常态化沟通协调</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定期</w:t>
      </w:r>
      <w:r>
        <w:rPr>
          <w:rFonts w:hint="eastAsia" w:ascii="宋体" w:hAnsi="宋体" w:eastAsia="宋体" w:cs="宋体"/>
          <w:b w:val="0"/>
          <w:bCs/>
          <w:sz w:val="24"/>
          <w:szCs w:val="24"/>
        </w:rPr>
        <w:t xml:space="preserve">组织住建局、项目使用单位、财政局三方协调会，同步项目进度与资金使用情况，解答政策执行中的疑问。</w:t>
      </w:r>
      <w:r/>
    </w:p>
    <w:p>
      <w:pPr>
        <w:pStyle w:val="881"/>
        <w:ind w:firstLine="480"/>
        <w:pageBreakBefore w:val="0"/>
        <w:spacing w:after="0"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全流程动态监控</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一是</w:t>
      </w:r>
      <w:r>
        <w:rPr>
          <w:rFonts w:hint="eastAsia" w:ascii="宋体" w:hAnsi="宋体" w:eastAsia="宋体" w:cs="宋体"/>
          <w:b w:val="0"/>
          <w:bCs/>
          <w:sz w:val="24"/>
          <w:szCs w:val="24"/>
        </w:rPr>
        <w:t xml:space="preserve">资金管理</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核查资金拨付进度与项目实际进度的匹配性。</w:t>
      </w:r>
      <w:r>
        <w:rPr>
          <w:rFonts w:hint="eastAsia" w:ascii="宋体" w:hAnsi="宋体" w:eastAsia="宋体" w:cs="宋体"/>
          <w:b w:val="0"/>
          <w:bCs/>
          <w:sz w:val="24"/>
          <w:szCs w:val="24"/>
          <w:lang w:val="en-US" w:eastAsia="zh-CN"/>
        </w:rPr>
        <w:t xml:space="preserve">二是</w:t>
      </w:r>
      <w:r>
        <w:rPr>
          <w:rFonts w:hint="eastAsia" w:ascii="宋体" w:hAnsi="宋体" w:eastAsia="宋体" w:cs="宋体"/>
          <w:b w:val="0"/>
          <w:bCs/>
          <w:sz w:val="24"/>
          <w:szCs w:val="24"/>
        </w:rPr>
        <w:t xml:space="preserve">项目执行</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跟踪项目质量、安全管理及节点完成情况，辅导解决工程变更、工期调整等问题的合规处理。</w:t>
      </w:r>
      <w:r>
        <w:rPr>
          <w:rFonts w:hint="eastAsia" w:ascii="宋体" w:hAnsi="宋体" w:eastAsia="宋体" w:cs="宋体"/>
          <w:b w:val="0"/>
          <w:bCs/>
          <w:sz w:val="24"/>
          <w:szCs w:val="24"/>
          <w:lang w:val="en-US" w:eastAsia="zh-CN"/>
        </w:rPr>
        <w:t xml:space="preserve">三是</w:t>
      </w:r>
      <w:r>
        <w:rPr>
          <w:rFonts w:hint="eastAsia" w:ascii="宋体" w:hAnsi="宋体" w:eastAsia="宋体" w:cs="宋体"/>
          <w:b w:val="0"/>
          <w:bCs/>
          <w:sz w:val="24"/>
          <w:szCs w:val="24"/>
        </w:rPr>
        <w:t xml:space="preserve">风险预警</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对闲置资金、进度滞后等问题及时预警，协助制定合规盘活方案。</w:t>
      </w:r>
      <w:r/>
    </w:p>
    <w:p>
      <w:pPr>
        <w:pStyle w:val="881"/>
        <w:numPr>
          <w:ilvl w:val="0"/>
          <w:numId w:val="0"/>
        </w:numPr>
        <w:ind w:left="0" w:firstLine="456"/>
        <w:pageBreakBefore w:val="0"/>
        <w:spacing w:after="0" w:line="440" w:lineRule="exact"/>
        <w:widowControl w:val="off"/>
        <w:rPr>
          <w:rStyle w:val="907"/>
          <w:rFonts w:hint="eastAsia" w:ascii="宋体" w:hAnsi="宋体" w:eastAsia="宋体" w:cs="宋体"/>
          <w:b w:val="0"/>
          <w:bCs/>
          <w:sz w:val="24"/>
          <w:szCs w:val="24"/>
        </w:rPr>
      </w:pPr>
      <w:r>
        <w:rPr>
          <w:rFonts w:hint="eastAsia" w:ascii="宋体" w:hAnsi="宋体" w:eastAsia="宋体" w:cs="宋体"/>
          <w:b w:val="0"/>
          <w:bCs/>
          <w:spacing w:val="-6"/>
          <w:sz w:val="24"/>
          <w:szCs w:val="24"/>
        </w:rPr>
        <w:t xml:space="preserve">（三）</w:t>
      </w:r>
      <w:r>
        <w:rPr>
          <w:rStyle w:val="907"/>
          <w:rFonts w:hint="eastAsia" w:ascii="宋体" w:hAnsi="宋体" w:eastAsia="宋体" w:cs="宋体"/>
          <w:b w:val="0"/>
          <w:bCs/>
          <w:sz w:val="24"/>
          <w:szCs w:val="24"/>
        </w:rPr>
        <w:t xml:space="preserve">验收</w:t>
      </w:r>
      <w:r/>
    </w:p>
    <w:p>
      <w:pPr>
        <w:pStyle w:val="881"/>
        <w:ind w:firstLine="480"/>
        <w:pageBreakBefore w:val="0"/>
        <w:spacing w:after="0"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验收资料系统化辅导</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指导梳理项目全套验收资料，确保资料完整、逻辑清晰，符合验收归档标准。验收现场协助</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协助对接上级验收组，解答政策执行细节问题，配合提供补充资料，保障验收过程顺畅。</w:t>
      </w:r>
      <w:r>
        <w:rPr>
          <w:rFonts w:hint="eastAsia" w:ascii="宋体" w:hAnsi="宋体" w:eastAsia="宋体" w:cs="宋体"/>
          <w:b w:val="0"/>
          <w:bCs/>
          <w:sz w:val="24"/>
          <w:szCs w:val="24"/>
          <w:lang w:val="en-US" w:eastAsia="zh-CN"/>
        </w:rPr>
        <w:t xml:space="preserve">项目相关资料整理。</w:t>
      </w:r>
      <w:r>
        <w:rPr>
          <w:rFonts w:hint="eastAsia" w:ascii="宋体" w:hAnsi="宋体" w:eastAsia="宋体" w:cs="宋体"/>
          <w:b w:val="0"/>
          <w:bCs/>
          <w:sz w:val="24"/>
          <w:szCs w:val="24"/>
        </w:rPr>
        <w:t xml:space="preserve">整理归档资金监管日志、违规整改记录、审计抽查报告等资料。</w:t>
      </w:r>
      <w:r/>
    </w:p>
    <w:p>
      <w:pPr>
        <w:pStyle w:val="871"/>
        <w:numPr>
          <w:ilvl w:val="0"/>
          <w:numId w:val="0"/>
        </w:numPr>
        <w:pageBreakBefore w:val="0"/>
        <w:spacing w:before="0" w:after="0" w:line="44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三、</w:t>
      </w:r>
      <w:r>
        <w:rPr>
          <w:rFonts w:hint="eastAsia" w:ascii="宋体" w:hAnsi="宋体" w:eastAsia="宋体" w:cs="宋体"/>
          <w:b/>
          <w:bCs w:val="0"/>
          <w:sz w:val="24"/>
          <w:szCs w:val="24"/>
        </w:rPr>
        <w:t xml:space="preserve">监督与评价配合要求</w:t>
      </w:r>
      <w:r/>
    </w:p>
    <w:p>
      <w:pPr>
        <w:pStyle w:val="881"/>
        <w:ind w:firstLine="480"/>
        <w:pageBreakBefore w:val="0"/>
        <w:spacing w:after="0"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配合核查资金到位与管理情况</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执行</w:t>
      </w:r>
      <w:r>
        <w:rPr>
          <w:rFonts w:hint="eastAsia" w:ascii="宋体" w:hAnsi="宋体" w:eastAsia="宋体" w:cs="宋体"/>
          <w:b w:val="0"/>
          <w:bCs/>
          <w:sz w:val="24"/>
          <w:szCs w:val="24"/>
          <w:lang w:val="en-US" w:eastAsia="zh-CN"/>
        </w:rPr>
        <w:t xml:space="preserve">情况、</w:t>
      </w:r>
      <w:r>
        <w:rPr>
          <w:rFonts w:hint="eastAsia" w:ascii="宋体" w:hAnsi="宋体" w:eastAsia="宋体" w:cs="宋体"/>
          <w:b w:val="0"/>
          <w:bCs/>
          <w:sz w:val="24"/>
          <w:szCs w:val="24"/>
        </w:rPr>
        <w:t xml:space="preserve">闲置资金处置</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配合开展绩效评价</w:t>
      </w:r>
      <w:r>
        <w:rPr>
          <w:rFonts w:hint="eastAsia" w:ascii="宋体" w:hAnsi="宋体" w:eastAsia="宋体" w:cs="宋体"/>
          <w:b w:val="0"/>
          <w:bCs/>
          <w:sz w:val="24"/>
          <w:szCs w:val="24"/>
          <w:lang w:eastAsia="zh-CN"/>
        </w:rPr>
        <w:t xml:space="preserve">。</w:t>
      </w:r>
      <w:r/>
    </w:p>
    <w:p>
      <w:pPr>
        <w:pStyle w:val="871"/>
        <w:numPr>
          <w:ilvl w:val="0"/>
          <w:numId w:val="0"/>
        </w:numPr>
        <w:pageBreakBefore w:val="0"/>
        <w:spacing w:before="0" w:after="0" w:line="44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四、</w:t>
      </w:r>
      <w:r>
        <w:rPr>
          <w:rFonts w:hint="eastAsia" w:ascii="宋体" w:hAnsi="宋体" w:eastAsia="宋体" w:cs="宋体"/>
          <w:b/>
          <w:bCs w:val="0"/>
          <w:sz w:val="24"/>
          <w:szCs w:val="24"/>
        </w:rPr>
        <w:t xml:space="preserve">服务团队要求</w:t>
      </w:r>
      <w:r/>
    </w:p>
    <w:p>
      <w:pPr>
        <w:pStyle w:val="881"/>
        <w:ind w:firstLine="480"/>
        <w:pageBreakBefore w:val="0"/>
        <w:spacing w:after="0" w:line="440" w:lineRule="exact"/>
        <w:widowControl w:val="off"/>
        <w:rPr>
          <w:rFonts w:hint="eastAsia" w:ascii="宋体" w:hAnsi="宋体" w:eastAsia="宋体" w:cs="宋体"/>
          <w:b/>
          <w:bCs w:val="0"/>
          <w:sz w:val="24"/>
          <w:szCs w:val="24"/>
        </w:rPr>
      </w:pPr>
      <w:r>
        <w:rPr>
          <w:rFonts w:hint="eastAsia" w:ascii="宋体" w:hAnsi="宋体" w:eastAsia="宋体" w:cs="宋体"/>
          <w:b w:val="0"/>
          <w:bCs/>
          <w:sz w:val="24"/>
          <w:szCs w:val="24"/>
          <w:lang w:eastAsia="zh-CN"/>
        </w:rPr>
        <w:t xml:space="preserve">供应商</w:t>
      </w:r>
      <w:r>
        <w:rPr>
          <w:rFonts w:hint="eastAsia" w:ascii="宋体" w:hAnsi="宋体" w:eastAsia="宋体" w:cs="宋体"/>
          <w:b w:val="0"/>
          <w:bCs/>
          <w:sz w:val="24"/>
          <w:szCs w:val="24"/>
        </w:rPr>
        <w:t xml:space="preserve">需</w:t>
      </w:r>
      <w:r>
        <w:rPr>
          <w:rFonts w:hint="eastAsia" w:ascii="宋体" w:hAnsi="宋体" w:eastAsia="宋体" w:cs="宋体"/>
          <w:b w:val="0"/>
          <w:bCs/>
          <w:sz w:val="24"/>
          <w:szCs w:val="24"/>
          <w:lang w:val="en-US" w:eastAsia="zh-CN"/>
        </w:rPr>
        <w:t xml:space="preserve">组建</w:t>
      </w:r>
      <w:r>
        <w:rPr>
          <w:rFonts w:hint="eastAsia" w:ascii="宋体" w:hAnsi="宋体" w:eastAsia="宋体" w:cs="宋体"/>
          <w:b w:val="0"/>
          <w:bCs/>
          <w:sz w:val="24"/>
          <w:szCs w:val="24"/>
        </w:rPr>
        <w:t xml:space="preserve">专业协同的服务团队。</w:t>
      </w:r>
      <w:r>
        <w:rPr>
          <w:rFonts w:hint="eastAsia" w:ascii="宋体" w:hAnsi="宋体" w:eastAsia="宋体" w:cs="宋体"/>
          <w:b w:val="0"/>
          <w:bCs/>
          <w:sz w:val="24"/>
          <w:szCs w:val="24"/>
          <w:lang w:val="en-US" w:eastAsia="zh-CN"/>
        </w:rPr>
        <w:t xml:space="preserve">团队</w:t>
      </w:r>
      <w:r>
        <w:rPr>
          <w:rFonts w:hint="eastAsia" w:ascii="宋体" w:hAnsi="宋体" w:eastAsia="宋体" w:cs="宋体"/>
          <w:b w:val="0"/>
          <w:bCs/>
          <w:sz w:val="24"/>
          <w:szCs w:val="24"/>
        </w:rPr>
        <w:t xml:space="preserve">应具备统筹协调政策资源与专家支持的能力，监督服务质量符合国家超长期特别国债管理要求。</w:t>
      </w:r>
      <w:r>
        <w:rPr>
          <w:rFonts w:hint="eastAsia" w:ascii="宋体" w:hAnsi="宋体" w:eastAsia="宋体" w:cs="宋体"/>
          <w:b w:val="0"/>
          <w:bCs/>
          <w:sz w:val="24"/>
          <w:szCs w:val="24"/>
          <w:lang w:val="en-US" w:eastAsia="zh-CN"/>
        </w:rPr>
        <w:t xml:space="preserve">团队应</w:t>
      </w:r>
      <w:r>
        <w:rPr>
          <w:rFonts w:hint="eastAsia" w:ascii="宋体" w:hAnsi="宋体" w:eastAsia="宋体" w:cs="宋体"/>
          <w:b w:val="0"/>
          <w:bCs/>
          <w:sz w:val="24"/>
          <w:szCs w:val="24"/>
        </w:rPr>
        <w:t xml:space="preserve">配备涵盖政策解读、项目管理、资金审核等领域的骨干人员，并指定总负责人统筹具体工作，确保及时对接住建局、项目使用单位、财政局，协调解决日常问题。</w:t>
      </w:r>
      <w:r>
        <w:rPr>
          <w:rFonts w:hint="eastAsia" w:ascii="宋体" w:hAnsi="宋体" w:eastAsia="宋体" w:cs="宋体"/>
          <w:b w:val="0"/>
          <w:bCs/>
          <w:sz w:val="24"/>
          <w:szCs w:val="24"/>
          <w:lang w:val="en-US" w:eastAsia="zh-CN"/>
        </w:rPr>
        <w:t xml:space="preserve">团队</w:t>
      </w:r>
      <w:r>
        <w:rPr>
          <w:rFonts w:hint="eastAsia" w:ascii="宋体" w:hAnsi="宋体" w:eastAsia="宋体" w:cs="宋体"/>
          <w:b w:val="0"/>
          <w:bCs/>
          <w:sz w:val="24"/>
          <w:szCs w:val="24"/>
        </w:rPr>
        <w:t xml:space="preserve">能够提供资金审计专业指导，审核资金使用合规性与效益性，参与模拟验收并对审计报告、绩效评价报告出具专业意见。</w:t>
      </w:r>
      <w:r/>
    </w:p>
    <w:p>
      <w:pPr>
        <w:pStyle w:val="871"/>
        <w:numPr>
          <w:ilvl w:val="0"/>
          <w:numId w:val="0"/>
        </w:numPr>
        <w:pageBreakBefore w:val="0"/>
        <w:spacing w:before="0" w:after="0" w:line="44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五、</w:t>
      </w:r>
      <w:r>
        <w:rPr>
          <w:rFonts w:hint="eastAsia" w:ascii="宋体" w:hAnsi="宋体" w:eastAsia="宋体" w:cs="宋体"/>
          <w:b/>
          <w:bCs w:val="0"/>
          <w:sz w:val="24"/>
          <w:szCs w:val="24"/>
        </w:rPr>
        <w:t xml:space="preserve">其他要求</w:t>
      </w:r>
      <w:r/>
    </w:p>
    <w:p>
      <w:pPr>
        <w:pStyle w:val="881"/>
        <w:ind w:firstLine="480"/>
        <w:pageBreakBefore w:val="0"/>
        <w:spacing w:after="0"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lang w:eastAsia="zh-CN"/>
        </w:rPr>
        <w:t xml:space="preserve">供应</w:t>
      </w:r>
      <w:r>
        <w:rPr>
          <w:rFonts w:hint="eastAsia" w:ascii="宋体" w:hAnsi="宋体" w:eastAsia="宋体" w:cs="宋体"/>
          <w:b w:val="0"/>
          <w:bCs/>
          <w:sz w:val="24"/>
          <w:szCs w:val="24"/>
        </w:rPr>
        <w:t xml:space="preserve">商需根据国家超长期特别国债政策调整及项目实际情况，动态优化服务方案，确保服务的针对性与有效性。服务过程中形成的各类文件、报告需按规范整理归档，确保可追溯。</w:t>
      </w:r>
      <w:r>
        <w:rPr>
          <w:rFonts w:hint="eastAsia" w:ascii="宋体" w:hAnsi="宋体" w:eastAsia="宋体" w:cs="宋体"/>
          <w:b w:val="0"/>
          <w:bCs/>
          <w:sz w:val="24"/>
          <w:szCs w:val="24"/>
          <w:lang w:eastAsia="zh-CN"/>
        </w:rPr>
        <w:t xml:space="preserve">供应</w:t>
      </w:r>
      <w:r>
        <w:rPr>
          <w:rFonts w:hint="eastAsia" w:ascii="宋体" w:hAnsi="宋体" w:eastAsia="宋体" w:cs="宋体"/>
          <w:b w:val="0"/>
          <w:bCs/>
          <w:sz w:val="24"/>
          <w:szCs w:val="24"/>
        </w:rPr>
        <w:t xml:space="preserve">商需遵守国家相关法律法规及射阳县相关管理规定，严格保守项目相关涉密信息。</w:t>
      </w:r>
      <w:r/>
    </w:p>
    <w:p>
      <w:pPr>
        <w:pStyle w:val="887"/>
        <w:numPr>
          <w:ilvl w:val="0"/>
          <w:numId w:val="1"/>
        </w:numPr>
        <w:jc w:val="both"/>
        <w:keepLines w:val="0"/>
        <w:keepNext w:val="0"/>
        <w:pageBreakBefore w:val="0"/>
        <w:spacing w:beforeAutospacing="0" w:afterAutospacing="0" w:line="440" w:lineRule="exact"/>
        <w:widowControl w:val="off"/>
        <w:rPr>
          <w:rFonts w:hint="eastAsia" w:ascii="宋体" w:hAnsi="宋体" w:eastAsia="宋体" w:cs="宋体"/>
          <w:b/>
          <w:bCs w:val="0"/>
          <w:color w:val="auto"/>
          <w:sz w:val="24"/>
          <w:szCs w:val="24"/>
          <w:highlight w:val="none"/>
          <w:shd w:val="clear" w:color="auto" w:fill="auto"/>
          <w:lang w:eastAsia="zh-CN"/>
        </w:rPr>
      </w:pPr>
      <w:r>
        <w:rPr>
          <w:rFonts w:hint="eastAsia" w:ascii="宋体" w:hAnsi="宋体" w:eastAsia="宋体" w:cs="宋体"/>
          <w:b/>
          <w:bCs w:val="0"/>
          <w:color w:val="auto"/>
          <w:sz w:val="24"/>
          <w:szCs w:val="24"/>
          <w:highlight w:val="none"/>
          <w:shd w:val="clear" w:color="auto" w:fill="auto"/>
          <w:lang w:eastAsia="zh-CN"/>
        </w:rPr>
        <w:t xml:space="preserve">付款方式</w:t>
      </w:r>
      <w:r/>
    </w:p>
    <w:p>
      <w:pPr>
        <w:pStyle w:val="887"/>
        <w:ind w:firstLine="480"/>
        <w:jc w:val="both"/>
        <w:keepLines w:val="0"/>
        <w:keepNext w:val="0"/>
        <w:pageBreakBefore w:val="0"/>
        <w:spacing w:beforeAutospacing="0" w:afterAutospacing="0" w:line="440" w:lineRule="exact"/>
        <w:widowControl w:val="off"/>
        <w:rPr>
          <w:rFonts w:hint="eastAsia" w:ascii="宋体" w:hAnsi="宋体" w:eastAsia="宋体" w:cs="宋体"/>
          <w:b w:val="0"/>
          <w:bCs/>
          <w:color w:val="auto"/>
          <w:highlight w:val="none"/>
          <w:shd w:val="clear" w:color="auto" w:fill="auto"/>
        </w:rPr>
      </w:pPr>
      <w:r>
        <w:rPr>
          <w:rFonts w:hint="eastAsia" w:ascii="宋体" w:hAnsi="宋体" w:eastAsia="宋体" w:cs="宋体"/>
          <w:b w:val="0"/>
          <w:bCs/>
          <w:color w:val="auto"/>
          <w:highlight w:val="none"/>
          <w:shd w:val="clear" w:color="auto" w:fill="auto"/>
        </w:rPr>
        <w:t xml:space="preserve">本项目落实预付款制度，预付款比例为30%。在签订合同时，</w:t>
      </w:r>
      <w:r>
        <w:rPr>
          <w:rFonts w:hint="eastAsia" w:ascii="宋体" w:hAnsi="宋体" w:eastAsia="宋体" w:cs="宋体"/>
          <w:b w:val="0"/>
          <w:bCs/>
          <w:color w:val="auto"/>
          <w:highlight w:val="none"/>
          <w:shd w:val="clear" w:color="auto" w:fill="auto"/>
          <w:lang w:eastAsia="zh-CN"/>
        </w:rPr>
        <w:t xml:space="preserve">成交</w:t>
      </w:r>
      <w:r>
        <w:rPr>
          <w:rFonts w:hint="eastAsia" w:ascii="宋体" w:hAnsi="宋体" w:eastAsia="宋体" w:cs="宋体"/>
          <w:b w:val="0"/>
          <w:bCs/>
          <w:color w:val="auto"/>
          <w:highlight w:val="none"/>
          <w:shd w:val="clear" w:color="auto" w:fill="auto"/>
        </w:rPr>
        <w:t xml:space="preserve">供应商明确书面表示无需预付款或者主动要求降低预付款比例的，采购人可不适用前述规定。</w:t>
      </w:r>
      <w:r/>
    </w:p>
    <w:p>
      <w:pPr>
        <w:pStyle w:val="887"/>
        <w:ind w:firstLine="480"/>
        <w:jc w:val="both"/>
        <w:keepLines w:val="0"/>
        <w:keepNext w:val="0"/>
        <w:pageBreakBefore w:val="0"/>
        <w:spacing w:beforeAutospacing="0" w:afterAutospacing="0" w:line="440" w:lineRule="exact"/>
        <w:widowControl w:val="off"/>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val="0"/>
          <w:bCs/>
          <w:sz w:val="24"/>
          <w:szCs w:val="24"/>
        </w:rPr>
        <w:t xml:space="preserve">提交服务方案后付</w:t>
      </w:r>
      <w:r>
        <w:rPr>
          <w:rFonts w:hint="eastAsia" w:ascii="宋体" w:hAnsi="宋体" w:eastAsia="宋体" w:cs="宋体"/>
          <w:b w:val="0"/>
          <w:bCs/>
          <w:sz w:val="24"/>
          <w:szCs w:val="24"/>
          <w:lang w:eastAsia="zh-CN"/>
        </w:rPr>
        <w:t xml:space="preserve">至</w:t>
      </w:r>
      <w:r>
        <w:rPr>
          <w:rFonts w:hint="eastAsia" w:ascii="宋体" w:hAnsi="宋体" w:eastAsia="宋体" w:cs="宋体"/>
          <w:b w:val="0"/>
          <w:bCs/>
          <w:sz w:val="24"/>
          <w:szCs w:val="24"/>
        </w:rPr>
        <w:t xml:space="preserve">合同额40%</w:t>
      </w:r>
      <w:r>
        <w:rPr>
          <w:rFonts w:hint="eastAsia" w:ascii="宋体" w:hAnsi="宋体" w:eastAsia="宋体" w:cs="宋体"/>
          <w:b w:val="0"/>
          <w:bCs w:val="0"/>
          <w:color w:val="auto"/>
          <w:sz w:val="24"/>
          <w:szCs w:val="24"/>
          <w:highlight w:val="none"/>
          <w:lang w:eastAsia="zh-CN"/>
        </w:rPr>
        <w:t xml:space="preserve">(包括以前支付)</w:t>
      </w:r>
      <w:r>
        <w:rPr>
          <w:rFonts w:hint="eastAsia" w:ascii="宋体" w:hAnsi="宋体" w:eastAsia="宋体" w:cs="宋体"/>
          <w:b w:val="0"/>
          <w:bCs/>
          <w:sz w:val="24"/>
          <w:szCs w:val="24"/>
          <w:lang w:eastAsia="zh-CN"/>
        </w:rPr>
        <w:t xml:space="preserve">；出具国债资金使用相关专项报告后支付合同额40%；国债项目资金使用验收合格后，支付剩余合同额的20%。</w:t>
      </w:r>
      <w:r/>
    </w:p>
    <w:p>
      <w:pPr>
        <w:pStyle w:val="887"/>
        <w:jc w:val="both"/>
        <w:keepLines w:val="0"/>
        <w:keepNext w:val="0"/>
        <w:pageBreakBefore w:val="0"/>
        <w:spacing w:beforeAutospacing="0" w:after="157" w:afterAutospacing="0" w:line="440" w:lineRule="exact"/>
        <w:widowControl w:val="off"/>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lang w:eastAsia="zh-CN"/>
        </w:rPr>
        <w:t xml:space="preserve">七、</w:t>
      </w:r>
      <w:r>
        <w:rPr>
          <w:rFonts w:hint="eastAsia" w:ascii="宋体" w:hAnsi="宋体" w:eastAsia="宋体" w:cs="宋体"/>
          <w:b/>
          <w:bCs w:val="0"/>
          <w:color w:val="auto"/>
          <w:sz w:val="24"/>
          <w:szCs w:val="24"/>
          <w:highlight w:val="none"/>
          <w:shd w:val="clear" w:color="auto" w:fill="auto"/>
        </w:rPr>
        <w:t xml:space="preserve">采购标的对应的中小企业划分标准所属行业一览表</w:t>
      </w:r>
      <w:r/>
    </w:p>
    <w:tbl>
      <w:tblPr>
        <w:tblStyle w:val="874"/>
        <w:tblW w:w="76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73"/>
        <w:gridCol w:w="4409"/>
        <w:gridCol w:w="2677"/>
      </w:tblGrid>
      <w:tr>
        <w:trPr>
          <w:jc w:val="center"/>
          <w:tblCellSpacing w:w="0" w:type="dxa"/>
          <w:trHeight w:val="798"/>
        </w:trPr>
        <w:tc>
          <w:tcPr>
            <w:shd w:val="clear" w:color="auto" w:fill="auto"/>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887"/>
              <w:jc w:val="center"/>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pStyle w:val="887"/>
              <w:jc w:val="center"/>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887"/>
              <w:jc w:val="center"/>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对应中小企业划分标准所属行业</w:t>
            </w:r>
            <w:r/>
          </w:p>
        </w:tc>
      </w:tr>
      <w:tr>
        <w:trPr>
          <w:jc w:val="center"/>
          <w:tblCellSpacing w:w="0" w:type="dxa"/>
          <w:trHeight w:val="1185"/>
        </w:trPr>
        <w:tc>
          <w:tcPr>
            <w:shd w:val="clear" w:color="auto" w:fill="auto"/>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887"/>
              <w:jc w:val="center"/>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pStyle w:val="887"/>
              <w:jc w:val="center"/>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射阳县住房和城乡建设局2025年超长期特别国债项目审计服务咨询</w:t>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887"/>
              <w:jc w:val="center"/>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ascii="Arial" w:hAnsi="Arial" w:eastAsia="宋体" w:cs="Arial"/>
                <w:i w:val="0"/>
                <w:iCs w:val="0"/>
                <w:caps w:val="0"/>
                <w:color w:val="333333"/>
                <w:spacing w:val="0"/>
                <w:sz w:val="24"/>
                <w:szCs w:val="24"/>
              </w:rPr>
              <w:t xml:space="preserve">其他未列明行业</w:t>
            </w:r>
            <w:r>
              <w:rPr>
                <w:rFonts w:hint="eastAsia" w:ascii="宋体" w:hAnsi="宋体" w:eastAsia="宋体" w:cs="宋体"/>
                <w:color w:val="auto"/>
                <w:sz w:val="24"/>
                <w:szCs w:val="24"/>
                <w:highlight w:val="none"/>
                <w:shd w:val="clear" w:color="auto" w:fill="auto"/>
              </w:rPr>
              <w:t xml:space="preserve"> </w:t>
            </w:r>
            <w:r/>
          </w:p>
        </w:tc>
      </w:tr>
    </w:tbl>
    <w:p>
      <w:pPr>
        <w:pStyle w:val="887"/>
        <w:jc w:val="center"/>
        <w:spacing w:beforeAutospacing="0" w:afterAutospacing="0"/>
        <w:rPr>
          <w:rFonts w:hint="eastAsia" w:ascii="黑体" w:hAnsi="宋体" w:eastAsia="黑体" w:cs="黑体"/>
          <w:b w:val="0"/>
          <w:bCs w:val="0"/>
          <w:color w:val="auto"/>
          <w:sz w:val="44"/>
          <w:szCs w:val="44"/>
          <w:highlight w:val="none"/>
        </w:rPr>
      </w:pPr>
      <w:r>
        <w:rPr>
          <w:rFonts w:hint="eastAsia" w:ascii="黑体" w:hAnsi="宋体" w:eastAsia="黑体" w:cs="黑体"/>
          <w:b w:val="0"/>
          <w:bCs w:val="0"/>
          <w:color w:val="auto"/>
          <w:sz w:val="44"/>
          <w:szCs w:val="44"/>
          <w:highlight w:val="none"/>
        </w:rPr>
      </w:r>
      <w:r/>
    </w:p>
    <w:p>
      <w:pPr>
        <w:pStyle w:val="887"/>
        <w:jc w:val="center"/>
        <w:spacing w:beforeAutospacing="0" w:afterAutospacing="0"/>
        <w:rPr>
          <w:color w:val="auto"/>
          <w:highlight w:val="none"/>
        </w:rPr>
      </w:pPr>
      <w:r>
        <w:rPr>
          <w:rFonts w:hint="eastAsia" w:ascii="黑体" w:hAnsi="宋体" w:eastAsia="黑体" w:cs="黑体"/>
          <w:b w:val="0"/>
          <w:bCs w:val="0"/>
          <w:color w:val="auto"/>
          <w:sz w:val="44"/>
          <w:szCs w:val="44"/>
          <w:highlight w:val="none"/>
        </w:rPr>
        <w:t xml:space="preserve">第五章  评审方法与评审标准</w:t>
      </w:r>
      <w:bookmarkEnd w:id="168"/>
      <w:r/>
      <w:r/>
    </w:p>
    <w:p>
      <w:pPr>
        <w:pStyle w:val="887"/>
        <w:jc w:val="both"/>
        <w:spacing w:beforeAutospacing="0" w:afterAutospacing="0"/>
        <w:rPr>
          <w:color w:val="auto"/>
          <w:highlight w:val="none"/>
        </w:rPr>
      </w:pPr>
      <w:r>
        <w:rPr>
          <w:color w:val="auto"/>
          <w:highlight w:val="none"/>
        </w:rPr>
        <w:t xml:space="preserve"> </w:t>
      </w:r>
      <w:r/>
    </w:p>
    <w:p>
      <w:pPr>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460" w:lineRule="exact"/>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本项目采用</w:t>
      </w:r>
      <w:r>
        <w:rPr>
          <w:rFonts w:hint="eastAsia" w:ascii="宋体" w:hAnsi="宋体" w:eastAsia="宋体" w:cs="Arial"/>
          <w:color w:val="auto"/>
          <w:sz w:val="24"/>
          <w:szCs w:val="20"/>
          <w:highlight w:val="none"/>
          <w:u w:val="single"/>
          <w:lang w:val="en-US" w:eastAsia="zh-CN" w:bidi="ar-SA"/>
        </w:rPr>
        <w:t xml:space="preserve"> 综合评分 </w:t>
      </w:r>
      <w:r>
        <w:rPr>
          <w:rFonts w:hint="eastAsia" w:ascii="宋体" w:hAnsi="宋体" w:eastAsia="宋体" w:cs="Arial"/>
          <w:color w:val="auto"/>
          <w:sz w:val="24"/>
          <w:szCs w:val="20"/>
          <w:highlight w:val="none"/>
          <w:lang w:val="en-US" w:eastAsia="zh-CN" w:bidi="ar-SA"/>
        </w:rPr>
        <w:t xml:space="preserve">法。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r/>
    </w:p>
    <w:p>
      <w:pPr>
        <w:pStyle w:val="887"/>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二、</w:t>
      </w:r>
      <w:r>
        <w:rPr>
          <w:rFonts w:hint="eastAsia" w:ascii="宋体" w:hAnsi="宋体" w:eastAsia="宋体" w:cs="宋体"/>
          <w:b/>
          <w:color w:val="auto"/>
          <w:sz w:val="24"/>
          <w:szCs w:val="24"/>
          <w:highlight w:val="none"/>
        </w:rPr>
        <w:t xml:space="preserve">政府采购政策功能落实</w:t>
      </w:r>
      <w:r/>
    </w:p>
    <w:p>
      <w:pPr>
        <w:pStyle w:val="887"/>
        <w:ind w:firstLine="48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98"/>
        <w:ind w:firstLine="360"/>
        <w:keepLines w:val="0"/>
        <w:keepNext w:val="0"/>
        <w:pageBreakBefore w:val="0"/>
        <w:spacing w:before="0" w:beforeAutospacing="0" w:after="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w:t>
      </w:r>
      <w:r/>
    </w:p>
    <w:p>
      <w:pPr>
        <w:pStyle w:val="887"/>
        <w:ind w:firstLine="36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文件的要求提供相应的《</w:t>
      </w:r>
      <w:r>
        <w:rPr>
          <w:rFonts w:hint="eastAsia" w:ascii="宋体" w:hAnsi="宋体" w:eastAsia="宋体" w:cs="宋体"/>
          <w:color w:val="auto"/>
          <w:sz w:val="24"/>
          <w:szCs w:val="24"/>
          <w:highlight w:val="none"/>
          <w:lang w:val="en-US" w:eastAsia="zh-CN"/>
        </w:rPr>
        <w:t xml:space="preserve">小微</w:t>
      </w:r>
      <w:r>
        <w:rPr>
          <w:rFonts w:hint="eastAsia" w:ascii="宋体" w:hAnsi="宋体" w:eastAsia="宋体" w:cs="宋体"/>
          <w:color w:val="auto"/>
          <w:sz w:val="24"/>
          <w:szCs w:val="24"/>
          <w:highlight w:val="none"/>
        </w:rPr>
        <w:t xml:space="preserve">企业声明函》。</w:t>
      </w:r>
      <w:r/>
    </w:p>
    <w:p>
      <w:pPr>
        <w:pStyle w:val="887"/>
        <w:ind w:firstLine="36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pStyle w:val="887"/>
        <w:ind w:firstLine="48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87"/>
        <w:ind w:left="120" w:firstLine="36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pStyle w:val="887"/>
        <w:ind w:left="120" w:firstLine="36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文件的要求提供《残疾人福利性单位声明函》。</w:t>
      </w:r>
      <w:r/>
    </w:p>
    <w:p>
      <w:pPr>
        <w:pStyle w:val="887"/>
        <w:ind w:left="120" w:firstLine="36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87"/>
        <w:ind w:firstLine="48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87"/>
        <w:ind w:firstLine="48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pStyle w:val="887"/>
        <w:ind w:firstLine="48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7"/>
        <w:ind w:firstLine="48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887"/>
        <w:ind w:firstLine="48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jc w:val="left"/>
        <w:keepLines w:val="0"/>
        <w:keepNext w:val="0"/>
        <w:pageBreakBefore w:val="0"/>
        <w:spacing w:before="157" w:beforeAutospacing="0" w:after="157" w:afterAutospacing="0" w:line="460" w:lineRule="exact"/>
        <w:widowControl w:val="off"/>
        <w:rPr>
          <w:rFonts w:ascii="宋体" w:hAnsi="宋体"/>
          <w:b/>
          <w:sz w:val="24"/>
          <w:szCs w:val="24"/>
          <w:highlight w:val="none"/>
        </w:rPr>
      </w:pPr>
      <w:r>
        <w:rPr>
          <w:rFonts w:hint="eastAsia" w:ascii="宋体" w:hAnsi="宋体"/>
          <w:b/>
          <w:sz w:val="24"/>
          <w:szCs w:val="24"/>
          <w:highlight w:val="none"/>
          <w:lang w:eastAsia="zh-CN"/>
        </w:rPr>
        <w:t xml:space="preserve">三、</w:t>
      </w:r>
      <w:r>
        <w:rPr>
          <w:rFonts w:hint="eastAsia" w:ascii="宋体" w:hAnsi="宋体"/>
          <w:b/>
          <w:sz w:val="24"/>
          <w:szCs w:val="24"/>
          <w:highlight w:val="none"/>
        </w:rPr>
        <w:t xml:space="preserve">评审方法与评审标准</w:t>
      </w:r>
      <w:r/>
    </w:p>
    <w:tbl>
      <w:tblPr>
        <w:tblStyle w:val="874"/>
        <w:tblW w:w="84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34"/>
        <w:gridCol w:w="1125"/>
        <w:gridCol w:w="6123"/>
      </w:tblGrid>
      <w:tr>
        <w:trPr>
          <w:jc w:val="center"/>
          <w:trHeight w:val="840"/>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pageBreakBefore w:val="0"/>
              <w:spacing w:line="38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评分</w:t>
            </w:r>
            <w:r>
              <w:rPr>
                <w:rFonts w:hint="eastAsia" w:asciiTheme="minorEastAsia" w:hAnsiTheme="minorEastAsia" w:eastAsiaTheme="minorEastAsia" w:cstheme="minorEastAsia"/>
                <w:b/>
                <w:bCs/>
                <w:color w:val="000000"/>
                <w:sz w:val="21"/>
                <w:szCs w:val="21"/>
                <w:highlight w:val="none"/>
              </w:rPr>
              <w:t xml:space="preserve">因素</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38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分 值</w:t>
            </w:r>
            <w:r/>
          </w:p>
        </w:tc>
        <w:tc>
          <w:tcPr>
            <w:tcBorders>
              <w:top w:val="single" w:color="000000" w:sz="4" w:space="0"/>
              <w:left w:val="single" w:color="000000" w:sz="4" w:space="0"/>
              <w:bottom w:val="single" w:color="000000" w:sz="4" w:space="0"/>
              <w:right w:val="single" w:color="000000" w:sz="4" w:space="0"/>
            </w:tcBorders>
            <w:tcW w:w="6123" w:type="dxa"/>
            <w:vAlign w:val="center"/>
            <w:textDirection w:val="lrTb"/>
            <w:noWrap/>
          </w:tcPr>
          <w:p>
            <w:pPr>
              <w:jc w:val="center"/>
              <w:keepLines w:val="0"/>
              <w:keepNext w:val="0"/>
              <w:pageBreakBefore w:val="0"/>
              <w:spacing w:line="38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评审标准</w:t>
            </w:r>
            <w:r/>
          </w:p>
        </w:tc>
      </w:tr>
      <w:tr>
        <w:trPr>
          <w:jc w:val="center"/>
          <w:trHeight w:val="2775"/>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价格分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价 格               （10分）</w:t>
            </w:r>
            <w:r/>
          </w:p>
        </w:tc>
        <w:tc>
          <w:tcPr>
            <w:tcBorders>
              <w:top w:val="single" w:color="000000" w:sz="4" w:space="0"/>
              <w:left w:val="single" w:color="000000" w:sz="4" w:space="0"/>
              <w:bottom w:val="single" w:color="000000" w:sz="4" w:space="0"/>
              <w:right w:val="single" w:color="000000" w:sz="4" w:space="0"/>
            </w:tcBorders>
            <w:tcW w:w="6123"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低价优先法计算，即满足磋商文件要求且最终报价最低的供应商价格为评标基准价，其价格分为满分。其他供应商的价格分统一按照下列公式计算：报价得分=（评标基准价/最终报价）×10分（计算结果保留2位小数，第三位四舍五入）。</w:t>
            </w:r>
            <w:r/>
          </w:p>
          <w:p>
            <w:pPr>
              <w:jc w:val="both"/>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因落实政府采购政策进行价格调整的，以调整后的价格计算评标基准价和投标报价。</w:t>
            </w:r>
            <w:r/>
          </w:p>
        </w:tc>
      </w:tr>
      <w:tr>
        <w:trPr>
          <w:jc w:val="center"/>
          <w:trHeight w:val="4765"/>
        </w:trPr>
        <w:tc>
          <w:tcPr>
            <w:tcBorders>
              <w:top w:val="single" w:color="000000" w:sz="4" w:space="0"/>
              <w:left w:val="single" w:color="000000" w:sz="4" w:space="0"/>
              <w:right w:val="single" w:color="000000" w:sz="4" w:space="0"/>
            </w:tcBorders>
            <w:tcW w:w="1234"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技术分</w:t>
            </w:r>
            <w:r/>
          </w:p>
          <w:p>
            <w:pPr>
              <w:jc w:val="center"/>
              <w:keepLines w:val="0"/>
              <w:keepNext w:val="0"/>
              <w:pageBreakBefore w:val="0"/>
              <w:spacing w:line="3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技术方案</w:t>
            </w:r>
            <w:r/>
          </w:p>
          <w:p>
            <w:pPr>
              <w:jc w:val="both"/>
              <w:keepLines w:val="0"/>
              <w:keepNext w:val="0"/>
              <w:pageBreakBefore w:val="0"/>
              <w:spacing w:line="3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（16分）</w:t>
            </w:r>
            <w:r/>
          </w:p>
        </w:tc>
        <w:tc>
          <w:tcPr>
            <w:tcBorders>
              <w:top w:val="single" w:color="000000" w:sz="4" w:space="0"/>
              <w:left w:val="single" w:color="000000" w:sz="4" w:space="0"/>
              <w:bottom w:val="single" w:color="000000" w:sz="4" w:space="0"/>
              <w:right w:val="single" w:color="000000" w:sz="4" w:space="0"/>
            </w:tcBorders>
            <w:tcW w:w="6123"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根据供应商制定的整体技术方案的内容，从对项目的理解（背景及必要性、</w:t>
            </w:r>
            <w:r>
              <w:rPr>
                <w:rFonts w:hint="eastAsia" w:ascii="宋体" w:hAnsi="宋体" w:eastAsia="宋体" w:cs="宋体"/>
                <w:color w:val="000000"/>
                <w:sz w:val="21"/>
                <w:szCs w:val="21"/>
                <w:highlight w:val="none"/>
                <w:u w:val="none"/>
                <w:lang w:bidi="ar"/>
              </w:rPr>
              <w:t xml:space="preserve">主要研究对象及项目范围</w:t>
            </w:r>
            <w:r>
              <w:rPr>
                <w:rFonts w:hint="eastAsia" w:ascii="宋体" w:hAnsi="宋体" w:eastAsia="宋体" w:cs="宋体"/>
                <w:color w:val="000000"/>
                <w:sz w:val="21"/>
                <w:szCs w:val="21"/>
                <w:highlight w:val="none"/>
                <w:u w:val="none"/>
                <w:lang w:eastAsia="zh-CN" w:bidi="ar"/>
              </w:rPr>
              <w:t xml:space="preserve">、</w:t>
            </w:r>
            <w:r>
              <w:rPr>
                <w:rFonts w:hint="eastAsia" w:ascii="宋体" w:hAnsi="宋体" w:eastAsia="宋体" w:cs="宋体"/>
                <w:color w:val="000000"/>
                <w:sz w:val="21"/>
                <w:szCs w:val="21"/>
                <w:highlight w:val="none"/>
                <w:u w:val="none"/>
                <w:lang w:bidi="ar"/>
              </w:rPr>
              <w:t xml:space="preserve">主要研究内容及重点难点</w:t>
            </w:r>
            <w:r>
              <w:rPr>
                <w:rFonts w:hint="eastAsia" w:ascii="宋体" w:hAnsi="宋体" w:eastAsia="宋体" w:cs="宋体"/>
                <w:i w:val="0"/>
                <w:iCs w:val="0"/>
                <w:color w:val="000000"/>
                <w:sz w:val="21"/>
                <w:szCs w:val="21"/>
                <w:highlight w:val="none"/>
                <w:u w:val="none"/>
                <w:lang w:val="en-US" w:eastAsia="zh-CN" w:bidi="ar"/>
              </w:rPr>
              <w:t xml:space="preserve">）、整体方案（工作思路、工作方案）、研究技术路线设计（研究方法、技术路线、项目服务重点方向）等方面进行综合评价。</w:t>
            </w:r>
            <w:r/>
          </w:p>
          <w:p>
            <w:pPr>
              <w:numPr>
                <w:ilvl w:val="0"/>
                <w:numId w:val="0"/>
              </w:numPr>
              <w:keepLines w:val="0"/>
              <w:keepNext w:val="0"/>
              <w:pageBreakBefore w:val="0"/>
              <w:spacing w:line="38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①</w:t>
            </w:r>
            <w:r>
              <w:rPr>
                <w:rFonts w:hint="eastAsia" w:ascii="宋体" w:hAnsi="宋体" w:eastAsia="宋体" w:cs="宋体"/>
                <w:i w:val="0"/>
                <w:iCs w:val="0"/>
                <w:color w:val="auto"/>
                <w:sz w:val="21"/>
                <w:szCs w:val="21"/>
                <w:highlight w:val="none"/>
                <w:u w:val="none"/>
                <w:lang w:val="en-US" w:eastAsia="zh-CN" w:bidi="ar"/>
              </w:rPr>
              <w:t xml:space="preserve">方案内容描述全面合理符合采购需求的得16分；</w:t>
            </w:r>
            <w:r/>
          </w:p>
          <w:p>
            <w:pPr>
              <w:numPr>
                <w:ilvl w:val="0"/>
                <w:numId w:val="0"/>
              </w:numPr>
              <w:keepLines w:val="0"/>
              <w:keepNext w:val="0"/>
              <w:pageBreakBefore w:val="0"/>
              <w:spacing w:line="38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②每有一项内容缺失的扣2分； </w:t>
            </w:r>
            <w:r/>
          </w:p>
          <w:p>
            <w:pPr>
              <w:numPr>
                <w:ilvl w:val="0"/>
                <w:numId w:val="0"/>
              </w:numPr>
              <w:keepLines w:val="0"/>
              <w:keepNext w:val="0"/>
              <w:pageBreakBefore w:val="0"/>
              <w:spacing w:line="38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③</w:t>
            </w:r>
            <w:r>
              <w:rPr>
                <w:rFonts w:hint="eastAsia" w:ascii="宋体" w:hAnsi="宋体" w:cs="宋体"/>
                <w:b w:val="0"/>
                <w:bCs w:val="0"/>
                <w:sz w:val="21"/>
                <w:szCs w:val="21"/>
              </w:rPr>
              <w:t xml:space="preserve">每有一处内容存在缺陷或不满足要求</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cs="宋体"/>
                <w:b w:val="0"/>
                <w:bCs w:val="0"/>
                <w:sz w:val="21"/>
                <w:szCs w:val="21"/>
              </w:rPr>
              <w:t xml:space="preserve">缺陷或不满足指</w:t>
            </w:r>
            <w:r>
              <w:rPr>
                <w:rFonts w:hint="eastAsia" w:ascii="宋体" w:hAnsi="宋体" w:cs="宋体"/>
                <w:b w:val="0"/>
                <w:bCs w:val="0"/>
                <w:sz w:val="21"/>
                <w:szCs w:val="21"/>
                <w:lang w:eastAsia="zh-CN"/>
              </w:rPr>
              <w:t xml:space="preserve">：</w:t>
            </w:r>
            <w:r>
              <w:rPr>
                <w:rFonts w:hint="eastAsia" w:ascii="宋体" w:hAnsi="宋体" w:cs="宋体"/>
                <w:b w:val="0"/>
                <w:bCs w:val="0"/>
                <w:sz w:val="21"/>
                <w:szCs w:val="21"/>
              </w:rPr>
              <w:t xml:space="preserve">内容不全面、与实际需求不符、内容不清晰或交叉混乱、套用其他项目方案、有规范性或常识性错误、有逻辑漏洞、存在无关的事项、凭空编造、存在不可能实现的夸大情形等任意一种情形</w:t>
            </w:r>
            <w:r>
              <w:rPr>
                <w:rFonts w:hint="eastAsia" w:ascii="宋体" w:hAnsi="宋体" w:eastAsia="宋体" w:cs="宋体"/>
                <w:b w:val="0"/>
                <w:bCs w:val="0"/>
                <w:i w:val="0"/>
                <w:iCs w:val="0"/>
                <w:color w:val="auto"/>
                <w:sz w:val="21"/>
                <w:szCs w:val="21"/>
                <w:highlight w:val="none"/>
                <w:u w:val="none"/>
                <w:lang w:val="en-US" w:eastAsia="zh-CN" w:bidi="ar"/>
              </w:rPr>
              <w:t xml:space="preserve">）的扣0</w:t>
            </w:r>
            <w:r>
              <w:rPr>
                <w:rFonts w:hint="eastAsia" w:ascii="宋体" w:hAnsi="宋体" w:eastAsia="宋体" w:cs="宋体"/>
                <w:i w:val="0"/>
                <w:iCs w:val="0"/>
                <w:color w:val="auto"/>
                <w:sz w:val="21"/>
                <w:szCs w:val="21"/>
                <w:highlight w:val="none"/>
                <w:u w:val="none"/>
                <w:lang w:val="en-US" w:eastAsia="zh-CN" w:bidi="ar"/>
              </w:rPr>
              <w:t xml:space="preserve">.5分，扣完为止；</w:t>
            </w:r>
            <w:r/>
          </w:p>
          <w:p>
            <w:pPr>
              <w:jc w:val="left"/>
              <w:keepLines w:val="0"/>
              <w:keepNext w:val="0"/>
              <w:pageBreakBefore w:val="0"/>
              <w:spacing w:line="380" w:lineRule="exact"/>
              <w:tabs>
                <w:tab w:val="left" w:pos="840" w:leader="none"/>
                <w:tab w:val="left" w:pos="1050" w:leader="none"/>
              </w:tabs>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④未提供方案不得分。</w:t>
            </w:r>
            <w:r/>
          </w:p>
        </w:tc>
      </w:tr>
      <w:tr>
        <w:trPr>
          <w:jc w:val="center"/>
          <w:trHeight w:val="2650"/>
        </w:trPr>
        <w:tc>
          <w:tcPr>
            <w:tcBorders>
              <w:left w:val="single" w:color="000000" w:sz="4" w:space="0"/>
              <w:right w:val="single" w:color="000000" w:sz="4" w:space="0"/>
            </w:tcBorders>
            <w:tcW w:w="1234" w:type="dxa"/>
            <w:vAlign w:val="center"/>
            <w:vMerge w:val="continue"/>
            <w:textDirection w:val="lrTb"/>
            <w:noWrap w:val="false"/>
          </w:tcPr>
          <w:p>
            <w:pPr>
              <w:jc w:val="both"/>
              <w:keepLines w:val="0"/>
              <w:keepNext w:val="0"/>
              <w:pageBreakBefore w:val="0"/>
              <w:spacing w:line="38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组织机构</w:t>
            </w:r>
            <w:r/>
          </w:p>
          <w:p>
            <w:pPr>
              <w:jc w:val="both"/>
              <w:keepLines w:val="0"/>
              <w:keepNext w:val="0"/>
              <w:pageBreakBefore w:val="0"/>
              <w:spacing w:line="3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6123" w:type="dxa"/>
            <w:vAlign w:val="center"/>
            <w:textDirection w:val="lrTb"/>
            <w:noWrap w:val="false"/>
          </w:tcPr>
          <w:p>
            <w:pPr>
              <w:numPr>
                <w:ilvl w:val="0"/>
                <w:numId w:val="0"/>
              </w:numPr>
              <w:keepLines w:val="0"/>
              <w:keepNext w:val="0"/>
              <w:pageBreakBefore w:val="0"/>
              <w:spacing w:line="380" w:lineRule="exact"/>
              <w:rPr>
                <w:rFonts w:hint="eastAsia" w:ascii="宋体" w:hAnsi="宋体" w:eastAsia="宋体" w:cs="宋体"/>
                <w:i w:val="0"/>
                <w:iCs w:val="0"/>
                <w:color w:val="auto"/>
                <w:sz w:val="21"/>
                <w:szCs w:val="21"/>
                <w:highlight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根据供应商制定的组织机构方案，包括但不限于公司团队、专家团队、工作流程、工作方式以及组织管理制度等方面进行综合评分。</w:t>
            </w:r>
            <w:r/>
          </w:p>
          <w:p>
            <w:pPr>
              <w:numPr>
                <w:ilvl w:val="0"/>
                <w:numId w:val="0"/>
              </w:numPr>
              <w:keepLines w:val="0"/>
              <w:keepNext w:val="0"/>
              <w:pageBreakBefore w:val="0"/>
              <w:spacing w:line="380" w:lineRule="exact"/>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①</w:t>
            </w:r>
            <w:r>
              <w:rPr>
                <w:rFonts w:hint="default" w:ascii="宋体" w:hAnsi="宋体" w:eastAsia="宋体" w:cs="宋体"/>
                <w:i w:val="0"/>
                <w:iCs w:val="0"/>
                <w:color w:val="auto"/>
                <w:sz w:val="21"/>
                <w:szCs w:val="21"/>
                <w:highlight w:val="none"/>
                <w:u w:val="none"/>
                <w:lang w:val="en-US" w:eastAsia="zh-CN" w:bidi="ar"/>
              </w:rPr>
              <w:t xml:space="preserve">内容描述全面合理符合采购需求的得</w:t>
            </w:r>
            <w:r>
              <w:rPr>
                <w:rFonts w:hint="eastAsia" w:ascii="宋体" w:hAnsi="宋体" w:eastAsia="宋体" w:cs="宋体"/>
                <w:i w:val="0"/>
                <w:iCs w:val="0"/>
                <w:color w:val="auto"/>
                <w:sz w:val="21"/>
                <w:szCs w:val="21"/>
                <w:highlight w:val="none"/>
                <w:u w:val="none"/>
                <w:lang w:val="en-US" w:eastAsia="zh-CN" w:bidi="ar"/>
              </w:rPr>
              <w:t xml:space="preserve">10</w:t>
            </w:r>
            <w:r>
              <w:rPr>
                <w:rFonts w:hint="default" w:ascii="宋体" w:hAnsi="宋体" w:eastAsia="宋体" w:cs="宋体"/>
                <w:i w:val="0"/>
                <w:iCs w:val="0"/>
                <w:color w:val="auto"/>
                <w:sz w:val="21"/>
                <w:szCs w:val="21"/>
                <w:highlight w:val="none"/>
                <w:u w:val="none"/>
                <w:lang w:val="en-US" w:eastAsia="zh-CN" w:bidi="ar"/>
              </w:rPr>
              <w:t xml:space="preserve">分；</w:t>
            </w:r>
            <w:r/>
          </w:p>
          <w:p>
            <w:pPr>
              <w:numPr>
                <w:ilvl w:val="0"/>
                <w:numId w:val="0"/>
              </w:numPr>
              <w:keepLines w:val="0"/>
              <w:keepNext w:val="0"/>
              <w:pageBreakBefore w:val="0"/>
              <w:spacing w:line="380" w:lineRule="exact"/>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②</w:t>
            </w:r>
            <w:r>
              <w:rPr>
                <w:rFonts w:hint="default" w:ascii="宋体" w:hAnsi="宋体" w:eastAsia="宋体" w:cs="宋体"/>
                <w:i w:val="0"/>
                <w:iCs w:val="0"/>
                <w:color w:val="auto"/>
                <w:sz w:val="21"/>
                <w:szCs w:val="21"/>
                <w:highlight w:val="none"/>
                <w:u w:val="none"/>
                <w:lang w:val="en-US" w:eastAsia="zh-CN" w:bidi="ar"/>
              </w:rPr>
              <w:t xml:space="preserve">每有一项内容缺失的扣</w:t>
            </w:r>
            <w:r>
              <w:rPr>
                <w:rFonts w:hint="eastAsia" w:ascii="宋体" w:hAnsi="宋体" w:eastAsia="宋体" w:cs="宋体"/>
                <w:i w:val="0"/>
                <w:iCs w:val="0"/>
                <w:color w:val="auto"/>
                <w:sz w:val="21"/>
                <w:szCs w:val="21"/>
                <w:highlight w:val="none"/>
                <w:u w:val="none"/>
                <w:lang w:val="en-US" w:eastAsia="zh-CN" w:bidi="ar"/>
              </w:rPr>
              <w:t xml:space="preserve">2</w:t>
            </w:r>
            <w:r>
              <w:rPr>
                <w:rFonts w:hint="default" w:ascii="宋体" w:hAnsi="宋体" w:eastAsia="宋体" w:cs="宋体"/>
                <w:i w:val="0"/>
                <w:iCs w:val="0"/>
                <w:color w:val="auto"/>
                <w:sz w:val="21"/>
                <w:szCs w:val="21"/>
                <w:highlight w:val="none"/>
                <w:u w:val="none"/>
                <w:lang w:val="en-US" w:eastAsia="zh-CN" w:bidi="ar"/>
              </w:rPr>
              <w:t xml:space="preserve">分； </w:t>
            </w:r>
            <w:r/>
          </w:p>
          <w:p>
            <w:pPr>
              <w:numPr>
                <w:ilvl w:val="0"/>
                <w:numId w:val="0"/>
              </w:numPr>
              <w:keepLines w:val="0"/>
              <w:keepNext w:val="0"/>
              <w:pageBreakBefore w:val="0"/>
              <w:spacing w:line="380" w:lineRule="exact"/>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③</w:t>
            </w:r>
            <w:r>
              <w:rPr>
                <w:rFonts w:hint="eastAsia" w:ascii="宋体" w:hAnsi="宋体" w:cs="宋体"/>
                <w:b w:val="0"/>
                <w:bCs w:val="0"/>
                <w:sz w:val="21"/>
                <w:szCs w:val="21"/>
              </w:rPr>
              <w:t xml:space="preserve">每有一处内容存在缺陷或不满足要求</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cs="宋体"/>
                <w:b w:val="0"/>
                <w:bCs w:val="0"/>
                <w:sz w:val="21"/>
                <w:szCs w:val="21"/>
              </w:rPr>
              <w:t xml:space="preserve">缺陷或不满足指</w:t>
            </w:r>
            <w:r>
              <w:rPr>
                <w:rFonts w:hint="eastAsia" w:ascii="宋体" w:hAnsi="宋体" w:cs="宋体"/>
                <w:b w:val="0"/>
                <w:bCs w:val="0"/>
                <w:sz w:val="21"/>
                <w:szCs w:val="21"/>
                <w:lang w:eastAsia="zh-CN"/>
              </w:rPr>
              <w:t xml:space="preserve">：</w:t>
            </w:r>
            <w:r>
              <w:rPr>
                <w:rFonts w:hint="eastAsia" w:ascii="宋体" w:hAnsi="宋体" w:cs="宋体"/>
                <w:b w:val="0"/>
                <w:bCs w:val="0"/>
                <w:sz w:val="21"/>
                <w:szCs w:val="21"/>
              </w:rPr>
              <w:t xml:space="preserve">内容不全面、与实际需求不符、内容不清晰或交叉混乱、套用其他项目方案、有规范性或常识性错误、有逻辑漏洞、存在无关的事项、凭空编造、存在不可能实现的夸大情形等任意一种情形</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的扣0.5分，扣完为止；</w:t>
            </w:r>
            <w:r/>
          </w:p>
          <w:p>
            <w:pPr>
              <w:jc w:val="both"/>
              <w:keepLines w:val="0"/>
              <w:keepNext w:val="0"/>
              <w:pageBreakBefore w:val="0"/>
              <w:spacing w:line="3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④</w:t>
            </w:r>
            <w:r>
              <w:rPr>
                <w:rFonts w:hint="default" w:ascii="宋体" w:hAnsi="宋体" w:eastAsia="宋体" w:cs="宋体"/>
                <w:i w:val="0"/>
                <w:iCs w:val="0"/>
                <w:color w:val="auto"/>
                <w:sz w:val="21"/>
                <w:szCs w:val="21"/>
                <w:highlight w:val="none"/>
                <w:u w:val="none"/>
                <w:lang w:val="en-US" w:eastAsia="zh-CN" w:bidi="ar"/>
              </w:rPr>
              <w:t xml:space="preserve">未提供方案不得分。</w:t>
            </w:r>
            <w:r/>
          </w:p>
        </w:tc>
      </w:tr>
      <w:tr>
        <w:trPr>
          <w:jc w:val="center"/>
          <w:trHeight w:val="1470"/>
        </w:trPr>
        <w:tc>
          <w:tcPr>
            <w:tcBorders>
              <w:left w:val="single" w:color="000000" w:sz="4" w:space="0"/>
              <w:right w:val="single" w:color="000000" w:sz="4" w:space="0"/>
            </w:tcBorders>
            <w:tcW w:w="1234" w:type="dxa"/>
            <w:vAlign w:val="center"/>
            <w:vMerge w:val="continue"/>
            <w:textDirection w:val="lrTb"/>
            <w:noWrap w:val="false"/>
          </w:tcPr>
          <w:p>
            <w:pPr>
              <w:jc w:val="both"/>
              <w:keepLines w:val="0"/>
              <w:keepNext w:val="0"/>
              <w:pageBreakBefore w:val="0"/>
              <w:spacing w:line="38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质量控制和应急预案（10分）</w:t>
            </w:r>
            <w:r/>
          </w:p>
        </w:tc>
        <w:tc>
          <w:tcPr>
            <w:tcBorders>
              <w:top w:val="single" w:color="000000" w:sz="4" w:space="0"/>
              <w:left w:val="single" w:color="000000" w:sz="4" w:space="0"/>
              <w:bottom w:val="single" w:color="000000" w:sz="4" w:space="0"/>
              <w:right w:val="single" w:color="000000" w:sz="4" w:space="0"/>
            </w:tcBorders>
            <w:tcW w:w="6123" w:type="dxa"/>
            <w:vAlign w:val="center"/>
            <w:textDirection w:val="lrTb"/>
            <w:noWrap w:val="false"/>
          </w:tcPr>
          <w:p>
            <w:pPr>
              <w:numPr>
                <w:ilvl w:val="0"/>
                <w:numId w:val="0"/>
              </w:numPr>
              <w:keepLines w:val="0"/>
              <w:keepNext w:val="0"/>
              <w:pageBreakBefore w:val="0"/>
              <w:spacing w:line="380" w:lineRule="exact"/>
              <w:rPr>
                <w:rFonts w:hint="eastAsia" w:ascii="宋体" w:hAnsi="宋体" w:eastAsia="宋体" w:cs="宋体"/>
                <w:i w:val="0"/>
                <w:iCs w:val="0"/>
                <w:color w:val="auto"/>
                <w:sz w:val="21"/>
                <w:szCs w:val="21"/>
                <w:highlight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根据供应商对本项目需求的理解，结合自身案例经验，提供的包含对项目质量风险预判、质量控制措施、质量管理流程的方案和应急预案、质量管理办法等方面进行综合评分。</w:t>
            </w:r>
            <w:r/>
          </w:p>
          <w:p>
            <w:pPr>
              <w:numPr>
                <w:ilvl w:val="0"/>
                <w:numId w:val="0"/>
              </w:numPr>
              <w:keepLines w:val="0"/>
              <w:keepNext w:val="0"/>
              <w:pageBreakBefore w:val="0"/>
              <w:spacing w:line="380" w:lineRule="exact"/>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①</w:t>
            </w:r>
            <w:r>
              <w:rPr>
                <w:rFonts w:hint="default" w:ascii="宋体" w:hAnsi="宋体" w:eastAsia="宋体" w:cs="宋体"/>
                <w:i w:val="0"/>
                <w:iCs w:val="0"/>
                <w:color w:val="auto"/>
                <w:sz w:val="21"/>
                <w:szCs w:val="21"/>
                <w:highlight w:val="none"/>
                <w:u w:val="none"/>
                <w:lang w:val="en-US" w:eastAsia="zh-CN" w:bidi="ar"/>
              </w:rPr>
              <w:t xml:space="preserve">内容描述全面合理符合采购需求的得</w:t>
            </w:r>
            <w:r>
              <w:rPr>
                <w:rFonts w:hint="eastAsia" w:ascii="宋体" w:hAnsi="宋体" w:eastAsia="宋体" w:cs="宋体"/>
                <w:i w:val="0"/>
                <w:iCs w:val="0"/>
                <w:color w:val="auto"/>
                <w:sz w:val="21"/>
                <w:szCs w:val="21"/>
                <w:highlight w:val="none"/>
                <w:u w:val="none"/>
                <w:lang w:val="en-US" w:eastAsia="zh-CN" w:bidi="ar"/>
              </w:rPr>
              <w:t xml:space="preserve">10</w:t>
            </w:r>
            <w:r>
              <w:rPr>
                <w:rFonts w:hint="default" w:ascii="宋体" w:hAnsi="宋体" w:eastAsia="宋体" w:cs="宋体"/>
                <w:i w:val="0"/>
                <w:iCs w:val="0"/>
                <w:color w:val="auto"/>
                <w:sz w:val="21"/>
                <w:szCs w:val="21"/>
                <w:highlight w:val="none"/>
                <w:u w:val="none"/>
                <w:lang w:val="en-US" w:eastAsia="zh-CN" w:bidi="ar"/>
              </w:rPr>
              <w:t xml:space="preserve">分；</w:t>
            </w:r>
            <w:r/>
          </w:p>
          <w:p>
            <w:pPr>
              <w:numPr>
                <w:ilvl w:val="0"/>
                <w:numId w:val="0"/>
              </w:numPr>
              <w:keepLines w:val="0"/>
              <w:keepNext w:val="0"/>
              <w:pageBreakBefore w:val="0"/>
              <w:spacing w:line="380" w:lineRule="exact"/>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②</w:t>
            </w:r>
            <w:r>
              <w:rPr>
                <w:rFonts w:hint="default" w:ascii="宋体" w:hAnsi="宋体" w:eastAsia="宋体" w:cs="宋体"/>
                <w:i w:val="0"/>
                <w:iCs w:val="0"/>
                <w:color w:val="auto"/>
                <w:sz w:val="21"/>
                <w:szCs w:val="21"/>
                <w:highlight w:val="none"/>
                <w:u w:val="none"/>
                <w:lang w:val="en-US" w:eastAsia="zh-CN" w:bidi="ar"/>
              </w:rPr>
              <w:t xml:space="preserve">每有一项内容缺失的扣</w:t>
            </w:r>
            <w:r>
              <w:rPr>
                <w:rFonts w:hint="eastAsia" w:ascii="宋体" w:hAnsi="宋体" w:eastAsia="宋体" w:cs="宋体"/>
                <w:i w:val="0"/>
                <w:iCs w:val="0"/>
                <w:color w:val="auto"/>
                <w:sz w:val="21"/>
                <w:szCs w:val="21"/>
                <w:highlight w:val="none"/>
                <w:u w:val="none"/>
                <w:lang w:val="en-US" w:eastAsia="zh-CN" w:bidi="ar"/>
              </w:rPr>
              <w:t xml:space="preserve">2</w:t>
            </w:r>
            <w:r>
              <w:rPr>
                <w:rFonts w:hint="default" w:ascii="宋体" w:hAnsi="宋体" w:eastAsia="宋体" w:cs="宋体"/>
                <w:i w:val="0"/>
                <w:iCs w:val="0"/>
                <w:color w:val="auto"/>
                <w:sz w:val="21"/>
                <w:szCs w:val="21"/>
                <w:highlight w:val="none"/>
                <w:u w:val="none"/>
                <w:lang w:val="en-US" w:eastAsia="zh-CN" w:bidi="ar"/>
              </w:rPr>
              <w:t xml:space="preserve">分； </w:t>
            </w:r>
            <w:r/>
          </w:p>
          <w:p>
            <w:pPr>
              <w:numPr>
                <w:ilvl w:val="0"/>
                <w:numId w:val="0"/>
              </w:numPr>
              <w:keepLines w:val="0"/>
              <w:keepNext w:val="0"/>
              <w:pageBreakBefore w:val="0"/>
              <w:spacing w:line="380" w:lineRule="exact"/>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③</w:t>
            </w:r>
            <w:r>
              <w:rPr>
                <w:rFonts w:hint="eastAsia" w:ascii="宋体" w:hAnsi="宋体" w:cs="宋体"/>
                <w:b w:val="0"/>
                <w:bCs w:val="0"/>
                <w:sz w:val="21"/>
                <w:szCs w:val="21"/>
              </w:rPr>
              <w:t xml:space="preserve">每有一处内容存在缺陷或不满足要求</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cs="宋体"/>
                <w:b w:val="0"/>
                <w:bCs w:val="0"/>
                <w:sz w:val="21"/>
                <w:szCs w:val="21"/>
              </w:rPr>
              <w:t xml:space="preserve">缺陷或不满足指</w:t>
            </w:r>
            <w:r>
              <w:rPr>
                <w:rFonts w:hint="eastAsia" w:ascii="宋体" w:hAnsi="宋体" w:cs="宋体"/>
                <w:b w:val="0"/>
                <w:bCs w:val="0"/>
                <w:sz w:val="21"/>
                <w:szCs w:val="21"/>
                <w:lang w:eastAsia="zh-CN"/>
              </w:rPr>
              <w:t xml:space="preserve">：</w:t>
            </w:r>
            <w:r>
              <w:rPr>
                <w:rFonts w:hint="eastAsia" w:ascii="宋体" w:hAnsi="宋体" w:cs="宋体"/>
                <w:b w:val="0"/>
                <w:bCs w:val="0"/>
                <w:sz w:val="21"/>
                <w:szCs w:val="21"/>
              </w:rPr>
              <w:t xml:space="preserve">内容不全面、与实际需求不符、内容不清晰或交叉混乱、套用其他项目方案、有规范性或常识性错误、有逻辑漏洞、存在无关的事项、凭空编造、存在不可能实现的夸大情形等任意一种情形</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的扣0.5分，扣完为止；</w:t>
            </w:r>
            <w:r/>
          </w:p>
          <w:p>
            <w:pPr>
              <w:jc w:val="both"/>
              <w:keepLines w:val="0"/>
              <w:keepNext w:val="0"/>
              <w:pageBreakBefore w:val="0"/>
              <w:spacing w:line="3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④</w:t>
            </w:r>
            <w:r>
              <w:rPr>
                <w:rFonts w:hint="default" w:ascii="宋体" w:hAnsi="宋体" w:eastAsia="宋体" w:cs="宋体"/>
                <w:i w:val="0"/>
                <w:iCs w:val="0"/>
                <w:color w:val="auto"/>
                <w:sz w:val="21"/>
                <w:szCs w:val="21"/>
                <w:highlight w:val="none"/>
                <w:u w:val="none"/>
                <w:lang w:val="en-US" w:eastAsia="zh-CN" w:bidi="ar"/>
              </w:rPr>
              <w:t xml:space="preserve">未提供方案不得分。</w:t>
            </w:r>
            <w:r/>
          </w:p>
        </w:tc>
      </w:tr>
      <w:tr>
        <w:trPr>
          <w:jc w:val="center"/>
          <w:trHeight w:val="630"/>
        </w:trPr>
        <w:tc>
          <w:tcPr>
            <w:tcBorders>
              <w:left w:val="single" w:color="000000" w:sz="4" w:space="0"/>
              <w:right w:val="single" w:color="000000" w:sz="4" w:space="0"/>
            </w:tcBorders>
            <w:tcW w:w="1234" w:type="dxa"/>
            <w:vAlign w:val="center"/>
            <w:vMerge w:val="continue"/>
            <w:textDirection w:val="lrTb"/>
            <w:noWrap w:val="false"/>
          </w:tcPr>
          <w:p>
            <w:pPr>
              <w:jc w:val="both"/>
              <w:keepLines w:val="0"/>
              <w:keepNext w:val="0"/>
              <w:pageBreakBefore w:val="0"/>
              <w:spacing w:line="38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进度安排及保障措施</w:t>
            </w:r>
            <w:r>
              <w:rPr>
                <w:rFonts w:hint="eastAsia" w:ascii="宋体" w:hAnsi="宋体" w:eastAsia="宋体" w:cs="宋体"/>
                <w:i w:val="0"/>
                <w:iCs w:val="0"/>
                <w:color w:val="000000"/>
                <w:sz w:val="21"/>
                <w:szCs w:val="21"/>
                <w:highlight w:val="none"/>
                <w:u w:val="none"/>
                <w:lang w:val="en-US" w:eastAsia="zh-CN" w:bidi="ar"/>
              </w:rPr>
              <w:t xml:space="preserve">（8分）</w:t>
            </w:r>
            <w:r/>
          </w:p>
        </w:tc>
        <w:tc>
          <w:tcPr>
            <w:tcBorders>
              <w:top w:val="single" w:color="000000" w:sz="4" w:space="0"/>
              <w:left w:val="single" w:color="000000" w:sz="4" w:space="0"/>
              <w:bottom w:val="single" w:color="000000" w:sz="4" w:space="0"/>
              <w:right w:val="single" w:color="000000" w:sz="4" w:space="0"/>
            </w:tcBorders>
            <w:tcW w:w="6123" w:type="dxa"/>
            <w:vAlign w:val="center"/>
            <w:textDirection w:val="lrTb"/>
            <w:noWrap w:val="false"/>
          </w:tcPr>
          <w:p>
            <w:pPr>
              <w:numPr>
                <w:ilvl w:val="0"/>
                <w:numId w:val="0"/>
              </w:numPr>
              <w:keepLines w:val="0"/>
              <w:keepNext w:val="0"/>
              <w:pageBreakBefore w:val="0"/>
              <w:spacing w:line="380" w:lineRule="exact"/>
              <w:rPr>
                <w:rFonts w:hint="eastAsia" w:ascii="宋体" w:hAnsi="宋体" w:eastAsia="宋体" w:cs="宋体"/>
                <w:i w:val="0"/>
                <w:iCs w:val="0"/>
                <w:color w:val="auto"/>
                <w:sz w:val="21"/>
                <w:szCs w:val="21"/>
                <w:highlight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根据供应商提供的进度安排及保障措施方案，从制定项目工作计划、完善项目管理组织机构、管理措施和保障措施等方面进行综合评分。</w:t>
            </w:r>
            <w:r/>
          </w:p>
          <w:p>
            <w:pPr>
              <w:numPr>
                <w:ilvl w:val="0"/>
                <w:numId w:val="0"/>
              </w:numPr>
              <w:keepLines w:val="0"/>
              <w:keepNext w:val="0"/>
              <w:pageBreakBefore w:val="0"/>
              <w:spacing w:line="380" w:lineRule="exact"/>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①</w:t>
            </w:r>
            <w:r>
              <w:rPr>
                <w:rFonts w:hint="default" w:ascii="宋体" w:hAnsi="宋体" w:eastAsia="宋体" w:cs="宋体"/>
                <w:i w:val="0"/>
                <w:iCs w:val="0"/>
                <w:color w:val="auto"/>
                <w:sz w:val="21"/>
                <w:szCs w:val="21"/>
                <w:highlight w:val="none"/>
                <w:u w:val="none"/>
                <w:lang w:val="en-US" w:eastAsia="zh-CN" w:bidi="ar"/>
              </w:rPr>
              <w:t xml:space="preserve">内容描述全面合理符合采购需求的得</w:t>
            </w:r>
            <w:r>
              <w:rPr>
                <w:rFonts w:hint="eastAsia" w:ascii="宋体" w:hAnsi="宋体" w:eastAsia="宋体" w:cs="宋体"/>
                <w:i w:val="0"/>
                <w:iCs w:val="0"/>
                <w:color w:val="auto"/>
                <w:sz w:val="21"/>
                <w:szCs w:val="21"/>
                <w:highlight w:val="none"/>
                <w:u w:val="none"/>
                <w:lang w:val="en-US" w:eastAsia="zh-CN" w:bidi="ar"/>
              </w:rPr>
              <w:t xml:space="preserve">8</w:t>
            </w:r>
            <w:r>
              <w:rPr>
                <w:rFonts w:hint="default" w:ascii="宋体" w:hAnsi="宋体" w:eastAsia="宋体" w:cs="宋体"/>
                <w:i w:val="0"/>
                <w:iCs w:val="0"/>
                <w:color w:val="auto"/>
                <w:sz w:val="21"/>
                <w:szCs w:val="21"/>
                <w:highlight w:val="none"/>
                <w:u w:val="none"/>
                <w:lang w:val="en-US" w:eastAsia="zh-CN" w:bidi="ar"/>
              </w:rPr>
              <w:t xml:space="preserve">分；</w:t>
            </w:r>
            <w:r/>
          </w:p>
          <w:p>
            <w:pPr>
              <w:numPr>
                <w:ilvl w:val="0"/>
                <w:numId w:val="0"/>
              </w:numPr>
              <w:keepLines w:val="0"/>
              <w:keepNext w:val="0"/>
              <w:pageBreakBefore w:val="0"/>
              <w:spacing w:line="380" w:lineRule="exact"/>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②</w:t>
            </w:r>
            <w:r>
              <w:rPr>
                <w:rFonts w:hint="default" w:ascii="宋体" w:hAnsi="宋体" w:eastAsia="宋体" w:cs="宋体"/>
                <w:i w:val="0"/>
                <w:iCs w:val="0"/>
                <w:color w:val="auto"/>
                <w:sz w:val="21"/>
                <w:szCs w:val="21"/>
                <w:highlight w:val="none"/>
                <w:u w:val="none"/>
                <w:lang w:val="en-US" w:eastAsia="zh-CN" w:bidi="ar"/>
              </w:rPr>
              <w:t xml:space="preserve">每有一项内容缺失的扣</w:t>
            </w:r>
            <w:r>
              <w:rPr>
                <w:rFonts w:hint="eastAsia" w:ascii="宋体" w:hAnsi="宋体" w:eastAsia="宋体" w:cs="宋体"/>
                <w:i w:val="0"/>
                <w:iCs w:val="0"/>
                <w:color w:val="auto"/>
                <w:sz w:val="21"/>
                <w:szCs w:val="21"/>
                <w:highlight w:val="none"/>
                <w:u w:val="none"/>
                <w:lang w:val="en-US" w:eastAsia="zh-CN" w:bidi="ar"/>
              </w:rPr>
              <w:t xml:space="preserve">2</w:t>
            </w:r>
            <w:r>
              <w:rPr>
                <w:rFonts w:hint="default" w:ascii="宋体" w:hAnsi="宋体" w:eastAsia="宋体" w:cs="宋体"/>
                <w:i w:val="0"/>
                <w:iCs w:val="0"/>
                <w:color w:val="auto"/>
                <w:sz w:val="21"/>
                <w:szCs w:val="21"/>
                <w:highlight w:val="none"/>
                <w:u w:val="none"/>
                <w:lang w:val="en-US" w:eastAsia="zh-CN" w:bidi="ar"/>
              </w:rPr>
              <w:t xml:space="preserve">分； </w:t>
            </w:r>
            <w:r/>
          </w:p>
          <w:p>
            <w:pPr>
              <w:jc w:val="both"/>
              <w:keepLines w:val="0"/>
              <w:keepNext w:val="0"/>
              <w:pageBreakBefore w:val="0"/>
              <w:spacing w:line="3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③</w:t>
            </w:r>
            <w:r>
              <w:rPr>
                <w:rFonts w:hint="eastAsia" w:ascii="宋体" w:hAnsi="宋体" w:cs="宋体"/>
                <w:b w:val="0"/>
                <w:bCs w:val="0"/>
                <w:sz w:val="21"/>
                <w:szCs w:val="21"/>
              </w:rPr>
              <w:t xml:space="preserve">每有一处内容存在缺陷或不满足要求</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cs="宋体"/>
                <w:b w:val="0"/>
                <w:bCs w:val="0"/>
                <w:sz w:val="21"/>
                <w:szCs w:val="21"/>
              </w:rPr>
              <w:t xml:space="preserve">缺陷或不满足指</w:t>
            </w:r>
            <w:r>
              <w:rPr>
                <w:rFonts w:hint="eastAsia" w:ascii="宋体" w:hAnsi="宋体" w:cs="宋体"/>
                <w:b w:val="0"/>
                <w:bCs w:val="0"/>
                <w:sz w:val="21"/>
                <w:szCs w:val="21"/>
                <w:lang w:eastAsia="zh-CN"/>
              </w:rPr>
              <w:t xml:space="preserve">：</w:t>
            </w:r>
            <w:r>
              <w:rPr>
                <w:rFonts w:hint="eastAsia" w:ascii="宋体" w:hAnsi="宋体" w:cs="宋体"/>
                <w:b w:val="0"/>
                <w:bCs w:val="0"/>
                <w:sz w:val="21"/>
                <w:szCs w:val="21"/>
              </w:rPr>
              <w:t xml:space="preserve">内容不全面、与实际需求不符、内容不清晰或交叉混乱、套用其他项目方案、有规范性或常识性错误、有逻辑漏洞、存在无关的事项、凭空编造、存在不可能实现的夸大情形等任意一种情形</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的扣0.5分，扣完为止；</w:t>
            </w:r>
            <w:r/>
          </w:p>
          <w:p>
            <w:pPr>
              <w:jc w:val="both"/>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④</w:t>
            </w:r>
            <w:r>
              <w:rPr>
                <w:rFonts w:hint="default" w:ascii="宋体" w:hAnsi="宋体" w:eastAsia="宋体" w:cs="宋体"/>
                <w:i w:val="0"/>
                <w:iCs w:val="0"/>
                <w:color w:val="auto"/>
                <w:sz w:val="21"/>
                <w:szCs w:val="21"/>
                <w:highlight w:val="none"/>
                <w:u w:val="none"/>
                <w:lang w:val="en-US" w:eastAsia="zh-CN" w:bidi="ar"/>
              </w:rPr>
              <w:t xml:space="preserve">未提供方案不得分。</w:t>
            </w:r>
            <w:r/>
          </w:p>
        </w:tc>
      </w:tr>
      <w:tr>
        <w:trPr>
          <w:jc w:val="center"/>
          <w:trHeight w:val="424"/>
        </w:trPr>
        <w:tc>
          <w:tcPr>
            <w:tcBorders>
              <w:left w:val="single" w:color="000000" w:sz="4" w:space="0"/>
              <w:bottom w:val="single" w:color="000000" w:sz="4" w:space="0"/>
              <w:right w:val="single" w:color="000000" w:sz="4" w:space="0"/>
            </w:tcBorders>
            <w:tcW w:w="1234" w:type="dxa"/>
            <w:vAlign w:val="center"/>
            <w:vMerge w:val="continue"/>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服务承诺</w:t>
            </w:r>
            <w:r/>
          </w:p>
          <w:p>
            <w:pPr>
              <w:jc w:val="both"/>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6123" w:type="dxa"/>
            <w:vAlign w:val="center"/>
            <w:textDirection w:val="lrTb"/>
            <w:noWrap w:val="false"/>
          </w:tcPr>
          <w:p>
            <w:pPr>
              <w:numPr>
                <w:ilvl w:val="0"/>
                <w:numId w:val="0"/>
              </w:numPr>
              <w:keepLines w:val="0"/>
              <w:keepNext w:val="0"/>
              <w:pageBreakBefore w:val="0"/>
              <w:spacing w:line="38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根据供应商提供的服务承诺从人员管理、保密管理、质量保障、工期保障、售后保障等方面进行综合评分。</w:t>
            </w:r>
            <w:r/>
          </w:p>
          <w:p>
            <w:pPr>
              <w:numPr>
                <w:ilvl w:val="0"/>
                <w:numId w:val="0"/>
              </w:numPr>
              <w:keepLines w:val="0"/>
              <w:keepNext w:val="0"/>
              <w:pageBreakBefore w:val="0"/>
              <w:spacing w:line="380" w:lineRule="exact"/>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①</w:t>
            </w:r>
            <w:r>
              <w:rPr>
                <w:rFonts w:hint="default" w:ascii="宋体" w:hAnsi="宋体" w:eastAsia="宋体" w:cs="宋体"/>
                <w:i w:val="0"/>
                <w:iCs w:val="0"/>
                <w:color w:val="auto"/>
                <w:sz w:val="21"/>
                <w:szCs w:val="21"/>
                <w:highlight w:val="none"/>
                <w:u w:val="none"/>
                <w:lang w:val="en-US" w:eastAsia="zh-CN" w:bidi="ar"/>
              </w:rPr>
              <w:t xml:space="preserve">内容描述全面合理符合采购需求的得</w:t>
            </w:r>
            <w:r>
              <w:rPr>
                <w:rFonts w:hint="eastAsia" w:ascii="宋体" w:hAnsi="宋体" w:eastAsia="宋体" w:cs="宋体"/>
                <w:i w:val="0"/>
                <w:iCs w:val="0"/>
                <w:color w:val="auto"/>
                <w:sz w:val="21"/>
                <w:szCs w:val="21"/>
                <w:highlight w:val="none"/>
                <w:u w:val="none"/>
                <w:lang w:val="en-US" w:eastAsia="zh-CN" w:bidi="ar"/>
              </w:rPr>
              <w:t xml:space="preserve">5</w:t>
            </w:r>
            <w:r>
              <w:rPr>
                <w:rFonts w:hint="default" w:ascii="宋体" w:hAnsi="宋体" w:eastAsia="宋体" w:cs="宋体"/>
                <w:i w:val="0"/>
                <w:iCs w:val="0"/>
                <w:color w:val="auto"/>
                <w:sz w:val="21"/>
                <w:szCs w:val="21"/>
                <w:highlight w:val="none"/>
                <w:u w:val="none"/>
                <w:lang w:val="en-US" w:eastAsia="zh-CN" w:bidi="ar"/>
              </w:rPr>
              <w:t xml:space="preserve">分；</w:t>
            </w:r>
            <w:r/>
          </w:p>
          <w:p>
            <w:pPr>
              <w:numPr>
                <w:ilvl w:val="0"/>
                <w:numId w:val="0"/>
              </w:numPr>
              <w:keepLines w:val="0"/>
              <w:keepNext w:val="0"/>
              <w:pageBreakBefore w:val="0"/>
              <w:spacing w:line="380" w:lineRule="exact"/>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②</w:t>
            </w:r>
            <w:r>
              <w:rPr>
                <w:rFonts w:hint="default" w:ascii="宋体" w:hAnsi="宋体" w:eastAsia="宋体" w:cs="宋体"/>
                <w:i w:val="0"/>
                <w:iCs w:val="0"/>
                <w:color w:val="auto"/>
                <w:sz w:val="21"/>
                <w:szCs w:val="21"/>
                <w:highlight w:val="none"/>
                <w:u w:val="none"/>
                <w:lang w:val="en-US" w:eastAsia="zh-CN" w:bidi="ar"/>
              </w:rPr>
              <w:t xml:space="preserve">每有一项内容缺失的扣</w:t>
            </w:r>
            <w:r>
              <w:rPr>
                <w:rFonts w:hint="eastAsia" w:ascii="宋体" w:hAnsi="宋体" w:eastAsia="宋体" w:cs="宋体"/>
                <w:i w:val="0"/>
                <w:iCs w:val="0"/>
                <w:color w:val="auto"/>
                <w:sz w:val="21"/>
                <w:szCs w:val="21"/>
                <w:highlight w:val="none"/>
                <w:u w:val="none"/>
                <w:lang w:val="en-US" w:eastAsia="zh-CN" w:bidi="ar"/>
              </w:rPr>
              <w:t xml:space="preserve">1</w:t>
            </w:r>
            <w:r>
              <w:rPr>
                <w:rFonts w:hint="default" w:ascii="宋体" w:hAnsi="宋体" w:eastAsia="宋体" w:cs="宋体"/>
                <w:i w:val="0"/>
                <w:iCs w:val="0"/>
                <w:color w:val="auto"/>
                <w:sz w:val="21"/>
                <w:szCs w:val="21"/>
                <w:highlight w:val="none"/>
                <w:u w:val="none"/>
                <w:lang w:val="en-US" w:eastAsia="zh-CN" w:bidi="ar"/>
              </w:rPr>
              <w:t xml:space="preserve">分； </w:t>
            </w:r>
            <w:r/>
          </w:p>
          <w:p>
            <w:pPr>
              <w:numPr>
                <w:ilvl w:val="0"/>
                <w:numId w:val="0"/>
              </w:numPr>
              <w:keepLines w:val="0"/>
              <w:keepNext w:val="0"/>
              <w:pageBreakBefore w:val="0"/>
              <w:spacing w:line="380" w:lineRule="exact"/>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③</w:t>
            </w:r>
            <w:r>
              <w:rPr>
                <w:rFonts w:hint="eastAsia" w:ascii="宋体" w:hAnsi="宋体" w:cs="宋体"/>
                <w:b w:val="0"/>
                <w:bCs w:val="0"/>
                <w:sz w:val="21"/>
                <w:szCs w:val="21"/>
              </w:rPr>
              <w:t xml:space="preserve">每有一处内容存在缺陷或不满足要求</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cs="宋体"/>
                <w:b w:val="0"/>
                <w:bCs w:val="0"/>
                <w:sz w:val="21"/>
                <w:szCs w:val="21"/>
              </w:rPr>
              <w:t xml:space="preserve">缺陷或不满足指</w:t>
            </w:r>
            <w:r>
              <w:rPr>
                <w:rFonts w:hint="eastAsia" w:ascii="宋体" w:hAnsi="宋体" w:cs="宋体"/>
                <w:b w:val="0"/>
                <w:bCs w:val="0"/>
                <w:sz w:val="21"/>
                <w:szCs w:val="21"/>
                <w:lang w:eastAsia="zh-CN"/>
              </w:rPr>
              <w:t xml:space="preserve">：</w:t>
            </w:r>
            <w:r>
              <w:rPr>
                <w:rFonts w:hint="eastAsia" w:ascii="宋体" w:hAnsi="宋体" w:cs="宋体"/>
                <w:b w:val="0"/>
                <w:bCs w:val="0"/>
                <w:sz w:val="21"/>
                <w:szCs w:val="21"/>
              </w:rPr>
              <w:t xml:space="preserve">内容不全面、与实际需求不符、内容不清晰或交叉混乱、套用其他项目方案、有规范性或常识性错误、有逻辑漏洞、存在无关的事项、凭空编造、存在不可能实现的夸大情形等任意一种情形</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的扣0.5分，扣完为止；</w:t>
            </w:r>
            <w:r/>
          </w:p>
          <w:p>
            <w:pPr>
              <w:jc w:val="left"/>
              <w:keepLines w:val="0"/>
              <w:keepNext w:val="0"/>
              <w:pageBreakBefore w:val="0"/>
              <w:spacing w:line="380" w:lineRule="exact"/>
              <w:tabs>
                <w:tab w:val="left" w:pos="840" w:leader="none"/>
                <w:tab w:val="left" w:pos="1050" w:leader="none"/>
              </w:tabs>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④</w:t>
            </w:r>
            <w:r>
              <w:rPr>
                <w:rFonts w:hint="default" w:ascii="宋体" w:hAnsi="宋体" w:eastAsia="宋体" w:cs="宋体"/>
                <w:i w:val="0"/>
                <w:iCs w:val="0"/>
                <w:color w:val="auto"/>
                <w:sz w:val="21"/>
                <w:szCs w:val="21"/>
                <w:highlight w:val="none"/>
                <w:u w:val="none"/>
                <w:lang w:val="en-US" w:eastAsia="zh-CN" w:bidi="ar"/>
              </w:rPr>
              <w:t xml:space="preserve">未提供方案不得分。</w:t>
            </w:r>
            <w:r/>
          </w:p>
        </w:tc>
      </w:tr>
      <w:tr>
        <w:trPr>
          <w:jc w:val="center"/>
          <w:trHeight w:val="424"/>
        </w:trPr>
        <w:tc>
          <w:tcPr>
            <w:tcBorders>
              <w:top w:val="single" w:color="000000" w:sz="4" w:space="0"/>
              <w:left w:val="single" w:color="000000" w:sz="4" w:space="0"/>
              <w:right w:val="single" w:color="000000" w:sz="4" w:space="0"/>
            </w:tcBorders>
            <w:tcW w:w="1234"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商务分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（41分)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人员配备</w:t>
            </w:r>
            <w:r/>
          </w:p>
          <w:p>
            <w:pPr>
              <w:jc w:val="both"/>
              <w:keepLines w:val="0"/>
              <w:keepNext w:val="0"/>
              <w:pageBreakBefore w:val="0"/>
              <w:spacing w:line="3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（25分）</w:t>
            </w:r>
            <w:r/>
          </w:p>
        </w:tc>
        <w:tc>
          <w:tcPr>
            <w:tcBorders>
              <w:top w:val="single" w:color="000000" w:sz="4" w:space="0"/>
              <w:left w:val="single" w:color="000000" w:sz="4" w:space="0"/>
              <w:bottom w:val="single" w:color="000000" w:sz="4" w:space="0"/>
              <w:right w:val="single" w:color="000000" w:sz="4" w:space="0"/>
            </w:tcBorders>
            <w:tcW w:w="6123" w:type="dxa"/>
            <w:vAlign w:val="center"/>
            <w:textDirection w:val="lrTb"/>
            <w:noWrap w:val="false"/>
          </w:tcPr>
          <w:p>
            <w:pPr>
              <w:jc w:val="left"/>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1.项目负责人具备正高级专业技术职称得5分；具备副高级专业技术职称得3分；具备中级专业技术职称得1分。本项最高得5分。</w:t>
            </w:r>
            <w:r/>
          </w:p>
          <w:p>
            <w:pPr>
              <w:jc w:val="left"/>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2.项目负责人具有咨询工程师（投资）证书得2分，本项最高得2分。</w:t>
            </w:r>
            <w:r/>
          </w:p>
          <w:p>
            <w:pPr>
              <w:jc w:val="left"/>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拟派项目团队成员（不含项目负责人）具备中级及以上专业技术职称的，每具备正高级职称人员一名得3分，副高级职称人员一名得1分，中级职称人员一名得0.5分，同一个人按照最高职级计算得分，本项最高得12分。</w:t>
            </w:r>
            <w:r/>
          </w:p>
          <w:p>
            <w:pPr>
              <w:pStyle w:val="881"/>
              <w:jc w:val="left"/>
              <w:keepLines w:val="0"/>
              <w:keepNext w:val="0"/>
              <w:pageBreakBefore w:val="0"/>
              <w:spacing w:before="0" w:after="0" w:line="380" w:lineRule="exact"/>
              <w:tabs>
                <w:tab w:val="left" w:pos="567" w:leader="none"/>
              </w:tabs>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4.拟派项目团队成员（不含项目负责人）具备咨询工程师（投资）证书的，每具备咨询工程师（投资）证书一名得2分，本项最高得6分。</w:t>
            </w:r>
            <w:r/>
          </w:p>
          <w:p>
            <w:pPr>
              <w:jc w:val="both"/>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注：以上人员须提供相关证书原件扫描件加盖投标人公章，并提供该人员为本单位人员的证明材料，否则不得分。</w:t>
            </w:r>
            <w:r/>
          </w:p>
        </w:tc>
      </w:tr>
      <w:tr>
        <w:trPr>
          <w:jc w:val="center"/>
          <w:trHeight w:val="1260"/>
        </w:trPr>
        <w:tc>
          <w:tcPr>
            <w:tcBorders>
              <w:left w:val="single" w:color="000000" w:sz="4" w:space="0"/>
              <w:bottom w:val="single" w:color="000000" w:sz="4" w:space="0"/>
              <w:right w:val="single" w:color="000000" w:sz="4" w:space="0"/>
            </w:tcBorders>
            <w:tcW w:w="1234"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类似业绩</w:t>
            </w:r>
            <w:r/>
          </w:p>
          <w:p>
            <w:pPr>
              <w:jc w:val="left"/>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(16分)</w:t>
            </w:r>
            <w:r/>
          </w:p>
        </w:tc>
        <w:tc>
          <w:tcPr>
            <w:shd w:val="clear" w:color="auto" w:fill="auto"/>
            <w:tcBorders>
              <w:top w:val="single" w:color="000000" w:sz="4" w:space="0"/>
              <w:left w:val="single" w:color="000000" w:sz="4" w:space="0"/>
              <w:bottom w:val="single" w:color="000000" w:sz="4" w:space="0"/>
              <w:right w:val="single" w:color="000000" w:sz="4" w:space="0"/>
            </w:tcBorders>
            <w:tcW w:w="6123" w:type="dxa"/>
            <w:vAlign w:val="center"/>
            <w:textDirection w:val="lrTb"/>
            <w:noWrap w:val="false"/>
          </w:tcPr>
          <w:p>
            <w:pPr>
              <w:jc w:val="left"/>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供应商承担过国债类似业绩的，每提供一个得4分，最高得16分。</w:t>
            </w:r>
            <w:r/>
          </w:p>
          <w:p>
            <w:pPr>
              <w:jc w:val="left"/>
              <w:keepLines w:val="0"/>
              <w:keepNext w:val="0"/>
              <w:pageBreakBefore w:val="0"/>
              <w:spacing w:line="3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注：须提供项目合同原件扫描件（合同内容至少包括合同首页、标的金额所在页、签字盖章页），未提供的不得分。</w:t>
            </w:r>
            <w:r/>
          </w:p>
        </w:tc>
      </w:tr>
    </w:tbl>
    <w:p>
      <w:pPr>
        <w:pStyle w:val="8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jc w:val="center"/>
        <w:spacing w:beforeAutospacing="0" w:afterAutospacing="0"/>
        <w:rPr>
          <w:color w:val="auto"/>
          <w:highlight w:val="none"/>
        </w:rPr>
      </w:pPr>
      <w:r>
        <w:rPr>
          <w:rFonts w:hint="eastAsia" w:ascii="黑体" w:hAnsi="宋体" w:eastAsia="黑体" w:cs="黑体"/>
          <w:color w:val="auto"/>
          <w:sz w:val="44"/>
          <w:szCs w:val="44"/>
          <w:highlight w:val="none"/>
        </w:rPr>
        <w:t xml:space="preserve">第六章  响应文件格式</w:t>
      </w:r>
      <w:r/>
    </w:p>
    <w:p>
      <w:pPr>
        <w:pStyle w:val="887"/>
        <w:jc w:val="center"/>
        <w:spacing w:beforeAutospacing="0" w:afterAutospacing="0"/>
        <w:rPr>
          <w:rFonts w:hint="eastAsia" w:ascii="宋体" w:hAnsi="宋体" w:eastAsia="宋体" w:cs="宋体"/>
          <w:b/>
          <w:color w:val="auto"/>
          <w:sz w:val="72"/>
          <w:szCs w:val="72"/>
          <w:highlight w:val="none"/>
        </w:rPr>
      </w:pPr>
      <w:r/>
      <w:bookmarkStart w:id="169" w:name="_Toc49090576"/>
      <w:r/>
      <w:bookmarkEnd w:id="169"/>
      <w:r/>
      <w:bookmarkStart w:id="170" w:name="_Toc120614282"/>
      <w:r/>
      <w:bookmarkEnd w:id="170"/>
      <w:r/>
      <w:bookmarkStart w:id="171" w:name="_Toc26554094"/>
      <w:r/>
      <w:bookmarkStart w:id="172" w:name="_Hlt26671244"/>
      <w:r/>
      <w:bookmarkStart w:id="173" w:name="_Hlt26955039"/>
      <w:r/>
      <w:r/>
    </w:p>
    <w:p>
      <w:pPr>
        <w:pStyle w:val="887"/>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87"/>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87"/>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响  应  文  件</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887"/>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887"/>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供应商名称：</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r>
      <w:r/>
    </w:p>
    <w:p>
      <w:pPr>
        <w:pStyle w:val="887"/>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rPr>
          <w:rFonts w:ascii="宋体" w:hAnsi="宋体" w:eastAsia="宋体" w:cs="宋体"/>
          <w:b/>
          <w:color w:val="auto"/>
          <w:sz w:val="32"/>
          <w:szCs w:val="32"/>
          <w:highlight w:val="none"/>
        </w:rPr>
      </w:r>
    </w:p>
    <w:p>
      <w:pPr>
        <w:pStyle w:val="887"/>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7"/>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一、法人或者其他组织的营业执照等证明文件，自然人的身份证明</w:t>
      </w:r>
      <w:r/>
    </w:p>
    <w:p>
      <w:pPr>
        <w:pStyle w:val="887"/>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二、上一年度的财务状况报表（</w:t>
      </w:r>
      <w:r>
        <w:rPr>
          <w:rFonts w:hint="eastAsia"/>
          <w:color w:val="auto"/>
          <w:highlight w:val="none"/>
          <w:lang w:val="en-US" w:eastAsia="zh-CN"/>
        </w:rPr>
        <w:t xml:space="preserve">至少提供资产负债表、利润表、现金流量表，</w:t>
      </w:r>
      <w:r>
        <w:rPr>
          <w:rFonts w:hint="eastAsia"/>
          <w:color w:val="auto"/>
          <w:highlight w:val="none"/>
        </w:rPr>
        <w:t xml:space="preserve">磋商供应商成立不满一年无需提供）</w:t>
      </w:r>
      <w:r/>
    </w:p>
    <w:p>
      <w:pPr>
        <w:pStyle w:val="887"/>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lang w:val="en-US" w:eastAsia="zh-CN"/>
        </w:rPr>
        <w:t xml:space="preserve">三</w:t>
      </w:r>
      <w:r>
        <w:rPr>
          <w:rFonts w:hint="eastAsia"/>
          <w:color w:val="auto"/>
          <w:highlight w:val="none"/>
        </w:rPr>
        <w:t xml:space="preserve">、具备履行合同所必需的设备和专业技术能力的书面声明</w:t>
      </w:r>
      <w:r/>
    </w:p>
    <w:p>
      <w:pPr>
        <w:pStyle w:val="887"/>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lang w:val="en-US" w:eastAsia="zh-CN"/>
        </w:rPr>
        <w:t xml:space="preserve">四</w:t>
      </w:r>
      <w:r>
        <w:rPr>
          <w:rFonts w:hint="eastAsia"/>
          <w:color w:val="auto"/>
          <w:highlight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87"/>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五、参加政府采购活动前 3 年内在经营活动中没有重大违法记录的书面声明</w:t>
      </w:r>
      <w:r/>
    </w:p>
    <w:p>
      <w:pPr>
        <w:pStyle w:val="887"/>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六、</w:t>
      </w:r>
      <w:r>
        <w:rPr>
          <w:rFonts w:hint="eastAsia" w:ascii="宋体" w:hAnsi="宋体" w:eastAsia="宋体" w:cs="宋体"/>
          <w:i w:val="0"/>
          <w:iCs/>
          <w:color w:val="000000"/>
          <w:sz w:val="24"/>
          <w:szCs w:val="24"/>
          <w:highlight w:val="none"/>
          <w:u w:val="none"/>
        </w:rPr>
        <w:t xml:space="preserve">单位负责人为同一人或者存在直接控股、管理关系的不同供应商，不得参加同一合同项下的政府采购活动</w:t>
      </w:r>
      <w:r>
        <w:rPr>
          <w:rFonts w:hint="eastAsia" w:ascii="宋体" w:hAnsi="宋体" w:eastAsia="宋体" w:cs="宋体"/>
          <w:i w:val="0"/>
          <w:iCs/>
          <w:color w:val="000000"/>
          <w:sz w:val="24"/>
          <w:szCs w:val="24"/>
          <w:highlight w:val="none"/>
          <w:u w:val="none"/>
          <w:lang w:eastAsia="zh-CN"/>
        </w:rPr>
        <w:t xml:space="preserve">的</w:t>
      </w:r>
      <w:r>
        <w:rPr>
          <w:rFonts w:hint="eastAsia" w:ascii="宋体" w:hAnsi="宋体" w:eastAsia="宋体" w:cs="宋体"/>
          <w:i w:val="0"/>
          <w:iCs/>
          <w:color w:val="000000"/>
          <w:sz w:val="24"/>
          <w:szCs w:val="24"/>
          <w:highlight w:val="none"/>
          <w:u w:val="none"/>
        </w:rPr>
        <w:t xml:space="preserve">书面</w:t>
      </w:r>
      <w:r>
        <w:rPr>
          <w:rFonts w:hint="eastAsia" w:ascii="宋体" w:hAnsi="宋体" w:eastAsia="宋体" w:cs="宋体"/>
          <w:i w:val="0"/>
          <w:iCs/>
          <w:color w:val="000000"/>
          <w:sz w:val="24"/>
          <w:szCs w:val="24"/>
          <w:highlight w:val="none"/>
          <w:u w:val="none"/>
          <w:lang w:eastAsia="zh-CN"/>
        </w:rPr>
        <w:t xml:space="preserve">声明</w:t>
      </w:r>
      <w:r/>
    </w:p>
    <w:p>
      <w:pPr>
        <w:pStyle w:val="887"/>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七、特定资格要求的证明文件（如果本项目设置特定资格要求，则需要提供）</w:t>
      </w:r>
      <w:r/>
    </w:p>
    <w:p>
      <w:pPr>
        <w:pStyle w:val="887"/>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八、法人授权书</w:t>
      </w:r>
      <w:r/>
    </w:p>
    <w:p>
      <w:pPr>
        <w:pStyle w:val="887"/>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九、磋商响应函</w:t>
      </w:r>
      <w:r/>
    </w:p>
    <w:p>
      <w:pPr>
        <w:pStyle w:val="887"/>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十、</w:t>
      </w:r>
      <w:r>
        <w:rPr>
          <w:rFonts w:hint="eastAsia"/>
          <w:color w:val="auto"/>
          <w:highlight w:val="none"/>
          <w:lang w:val="en-US" w:eastAsia="zh-CN"/>
        </w:rPr>
        <w:t xml:space="preserve">小微</w:t>
      </w:r>
      <w:r>
        <w:rPr>
          <w:rFonts w:hint="eastAsia"/>
          <w:color w:val="auto"/>
          <w:highlight w:val="none"/>
        </w:rPr>
        <w:t xml:space="preserve">企业声明函</w:t>
      </w:r>
      <w:r/>
    </w:p>
    <w:p>
      <w:pPr>
        <w:pStyle w:val="887"/>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十一、残疾人福利性单位声明函</w:t>
      </w:r>
      <w:r/>
    </w:p>
    <w:p>
      <w:pPr>
        <w:pStyle w:val="887"/>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十二、分项报价表</w:t>
      </w:r>
      <w:r/>
    </w:p>
    <w:p>
      <w:pPr>
        <w:pStyle w:val="887"/>
        <w:ind w:firstLine="482"/>
        <w:jc w:val="both"/>
        <w:keepLines w:val="0"/>
        <w:keepNext w:val="0"/>
        <w:pageBreakBefore w:val="0"/>
        <w:spacing w:beforeAutospacing="0" w:afterAutospacing="0" w:line="440" w:lineRule="exact"/>
        <w:widowControl w:val="off"/>
        <w:rPr>
          <w:rFonts w:hint="eastAsia" w:eastAsiaTheme="minorEastAsia"/>
          <w:color w:val="auto"/>
          <w:highlight w:val="none"/>
          <w:lang w:eastAsia="zh-CN"/>
        </w:rPr>
      </w:pPr>
      <w:r>
        <w:rPr>
          <w:rFonts w:hint="eastAsia"/>
          <w:color w:val="auto"/>
          <w:highlight w:val="none"/>
        </w:rPr>
        <w:t xml:space="preserve">十三、</w:t>
      </w:r>
      <w:r>
        <w:rPr>
          <w:rFonts w:hint="eastAsia"/>
          <w:color w:val="auto"/>
          <w:highlight w:val="none"/>
          <w:lang w:eastAsia="zh-CN"/>
        </w:rPr>
        <w:t xml:space="preserve">承诺函</w:t>
      </w:r>
      <w:r/>
    </w:p>
    <w:p>
      <w:pPr>
        <w:pStyle w:val="887"/>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十四、商务要求响应及偏离表</w:t>
      </w:r>
      <w:r/>
    </w:p>
    <w:p>
      <w:pPr>
        <w:pStyle w:val="887"/>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十五、开标一览表</w:t>
      </w:r>
      <w:r/>
    </w:p>
    <w:p>
      <w:pPr>
        <w:pStyle w:val="887"/>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十</w:t>
      </w:r>
      <w:r>
        <w:rPr>
          <w:rFonts w:hint="eastAsia"/>
          <w:color w:val="auto"/>
          <w:highlight w:val="none"/>
          <w:lang w:val="en-US" w:eastAsia="zh-CN"/>
        </w:rPr>
        <w:t xml:space="preserve">六</w:t>
      </w:r>
      <w:r>
        <w:rPr>
          <w:rFonts w:hint="eastAsia"/>
          <w:color w:val="auto"/>
          <w:highlight w:val="none"/>
        </w:rPr>
        <w:t xml:space="preserve">、其他材料</w:t>
      </w:r>
      <w:r/>
    </w:p>
    <w:p>
      <w:pPr>
        <w:pStyle w:val="887"/>
        <w:ind w:firstLine="482"/>
        <w:jc w:val="both"/>
        <w:keepLines w:val="0"/>
        <w:keepNext w:val="0"/>
        <w:pageBreakBefore w:val="0"/>
        <w:spacing w:beforeAutospacing="0" w:afterAutospacing="0" w:line="440" w:lineRule="exact"/>
        <w:widowControl w:val="off"/>
        <w:rPr>
          <w:color w:val="auto"/>
          <w:highlight w:val="none"/>
        </w:rPr>
      </w:pPr>
      <w:r>
        <w:rPr>
          <w:rFonts w:hint="eastAsia"/>
          <w:color w:val="auto"/>
          <w:highlight w:val="none"/>
        </w:rPr>
        <w:t xml:space="preserve">十</w:t>
      </w:r>
      <w:r>
        <w:rPr>
          <w:rFonts w:hint="eastAsia"/>
          <w:color w:val="auto"/>
          <w:highlight w:val="none"/>
          <w:lang w:val="en-US" w:eastAsia="zh-CN"/>
        </w:rPr>
        <w:t xml:space="preserve">七</w:t>
      </w:r>
      <w:r>
        <w:rPr>
          <w:rFonts w:hint="eastAsia"/>
          <w:color w:val="auto"/>
          <w:highlight w:val="none"/>
        </w:rPr>
        <w:t xml:space="preserve">、盐城市政府采购事前信用承诺书</w:t>
      </w:r>
      <w:r/>
    </w:p>
    <w:p>
      <w:pPr>
        <w:pStyle w:val="887"/>
        <w:ind w:firstLine="480"/>
        <w:jc w:val="both"/>
        <w:spacing w:beforeAutospacing="0" w:afterAutospacing="0" w:line="0" w:lineRule="atLeast"/>
        <w:rPr>
          <w:color w:val="auto"/>
          <w:highlight w:val="none"/>
        </w:rPr>
      </w:pPr>
      <w:r>
        <w:rPr>
          <w:color w:val="auto"/>
          <w:highlight w:val="none"/>
        </w:rPr>
        <w:t xml:space="preserve"> </w:t>
      </w:r>
      <w:r/>
    </w:p>
    <w:p>
      <w:pPr>
        <w:pStyle w:val="887"/>
        <w:ind w:firstLine="480"/>
        <w:jc w:val="both"/>
        <w:spacing w:beforeAutospacing="0" w:afterAutospacing="0" w:line="0" w:lineRule="atLeast"/>
        <w:rPr>
          <w:color w:val="auto"/>
          <w:highlight w:val="none"/>
        </w:rPr>
      </w:pPr>
      <w:r>
        <w:rPr>
          <w:color w:val="auto"/>
          <w:highlight w:val="none"/>
        </w:rPr>
        <w:t xml:space="preserve"> </w:t>
      </w:r>
      <w:r/>
    </w:p>
    <w:p>
      <w:pPr>
        <w:pStyle w:val="887"/>
        <w:ind w:firstLine="480"/>
        <w:jc w:val="both"/>
        <w:spacing w:beforeAutospacing="0" w:afterAutospacing="0" w:line="0" w:lineRule="atLeast"/>
        <w:rPr>
          <w:color w:val="auto"/>
          <w:highlight w:val="none"/>
        </w:rPr>
      </w:pPr>
      <w:r>
        <w:rPr>
          <w:color w:val="auto"/>
          <w:highlight w:val="none"/>
        </w:rPr>
        <w:t xml:space="preserve"> </w:t>
      </w:r>
      <w:r/>
    </w:p>
    <w:p>
      <w:pPr>
        <w:pStyle w:val="887"/>
        <w:ind w:firstLine="480"/>
        <w:jc w:val="both"/>
        <w:spacing w:beforeAutospacing="0" w:afterAutospacing="0" w:line="0" w:lineRule="atLeast"/>
        <w:rPr>
          <w:color w:val="auto"/>
          <w:highlight w:val="none"/>
        </w:rPr>
      </w:pPr>
      <w:r>
        <w:rPr>
          <w:color w:val="auto"/>
          <w:highlight w:val="none"/>
        </w:rPr>
      </w:r>
      <w:r/>
    </w:p>
    <w:p>
      <w:pPr>
        <w:pStyle w:val="887"/>
        <w:ind w:firstLine="480"/>
        <w:jc w:val="both"/>
        <w:spacing w:beforeAutospacing="0" w:afterAutospacing="0" w:line="0" w:lineRule="atLeast"/>
        <w:rPr>
          <w:color w:val="auto"/>
          <w:highlight w:val="none"/>
        </w:rPr>
      </w:pPr>
      <w:r>
        <w:rPr>
          <w:color w:val="auto"/>
          <w:highlight w:val="none"/>
        </w:rPr>
      </w:r>
      <w:r/>
    </w:p>
    <w:p>
      <w:pPr>
        <w:pStyle w:val="887"/>
        <w:ind w:firstLine="480"/>
        <w:jc w:val="both"/>
        <w:spacing w:beforeAutospacing="0" w:afterAutospacing="0" w:line="0" w:lineRule="atLeast"/>
        <w:rPr>
          <w:color w:val="auto"/>
          <w:highlight w:val="none"/>
        </w:rPr>
      </w:pPr>
      <w:r>
        <w:rPr>
          <w:color w:val="auto"/>
          <w:highlight w:val="none"/>
        </w:rPr>
      </w:r>
      <w:r/>
    </w:p>
    <w:p>
      <w:pPr>
        <w:pStyle w:val="887"/>
        <w:ind w:firstLine="480"/>
        <w:jc w:val="both"/>
        <w:spacing w:beforeAutospacing="0" w:afterAutospacing="0" w:line="0" w:lineRule="atLeast"/>
        <w:rPr>
          <w:color w:val="auto"/>
          <w:highlight w:val="none"/>
        </w:rPr>
      </w:pPr>
      <w:r>
        <w:rPr>
          <w:color w:val="auto"/>
          <w:highlight w:val="none"/>
        </w:rPr>
      </w:r>
      <w:r/>
    </w:p>
    <w:p>
      <w:pPr>
        <w:pStyle w:val="887"/>
        <w:ind w:firstLine="480"/>
        <w:jc w:val="both"/>
        <w:spacing w:beforeAutospacing="0" w:afterAutospacing="0" w:line="0" w:lineRule="atLeast"/>
        <w:rPr>
          <w:color w:val="auto"/>
          <w:highlight w:val="none"/>
        </w:rPr>
      </w:pPr>
      <w:r>
        <w:rPr>
          <w:color w:val="auto"/>
          <w:highlight w:val="none"/>
        </w:rPr>
      </w:r>
      <w:r/>
    </w:p>
    <w:p>
      <w:pPr>
        <w:pStyle w:val="887"/>
        <w:ind w:firstLine="480"/>
        <w:jc w:val="both"/>
        <w:spacing w:beforeAutospacing="0" w:afterAutospacing="0" w:line="0" w:lineRule="atLeast"/>
        <w:rPr>
          <w:color w:val="auto"/>
          <w:highlight w:val="none"/>
        </w:rPr>
      </w:pPr>
      <w:r>
        <w:rPr>
          <w:color w:val="auto"/>
          <w:highlight w:val="none"/>
        </w:rPr>
      </w:r>
      <w:r/>
    </w:p>
    <w:p>
      <w:pPr>
        <w:pStyle w:val="887"/>
        <w:ind w:firstLine="480"/>
        <w:jc w:val="both"/>
        <w:spacing w:beforeAutospacing="0" w:afterAutospacing="0" w:line="0" w:lineRule="atLeast"/>
        <w:rPr>
          <w:color w:val="auto"/>
          <w:highlight w:val="none"/>
        </w:rPr>
      </w:pPr>
      <w:r>
        <w:rPr>
          <w:color w:val="auto"/>
          <w:highlight w:val="none"/>
        </w:rPr>
      </w:r>
      <w:r/>
    </w:p>
    <w:p>
      <w:pPr>
        <w:pStyle w:val="887"/>
        <w:ind w:firstLine="480"/>
        <w:jc w:val="both"/>
        <w:spacing w:beforeAutospacing="0" w:afterAutospacing="0" w:line="0" w:lineRule="atLeast"/>
        <w:rPr>
          <w:color w:val="auto"/>
          <w:highlight w:val="none"/>
        </w:rPr>
      </w:pPr>
      <w:r>
        <w:rPr>
          <w:color w:val="auto"/>
          <w:highlight w:val="none"/>
        </w:rPr>
      </w:r>
      <w:r/>
    </w:p>
    <w:p>
      <w:pPr>
        <w:pStyle w:val="887"/>
        <w:ind w:firstLine="480"/>
        <w:jc w:val="both"/>
        <w:spacing w:beforeAutospacing="0" w:afterAutospacing="0" w:line="0" w:lineRule="atLeast"/>
        <w:rPr>
          <w:color w:val="auto"/>
          <w:highlight w:val="none"/>
        </w:rPr>
      </w:pPr>
      <w:r>
        <w:rPr>
          <w:color w:val="auto"/>
          <w:highlight w:val="none"/>
        </w:rPr>
        <w:t xml:space="preserve"> </w:t>
      </w:r>
      <w:r/>
    </w:p>
    <w:p>
      <w:pPr>
        <w:pStyle w:val="887"/>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87"/>
        <w:ind w:firstLine="480"/>
        <w:jc w:val="both"/>
        <w:spacing w:beforeAutospacing="0" w:afterAutospacing="0" w:line="0" w:lineRule="atLeast"/>
        <w:rPr>
          <w:color w:val="auto"/>
          <w:highlight w:val="none"/>
        </w:rPr>
      </w:pPr>
      <w:r>
        <w:rPr>
          <w:color w:val="auto"/>
          <w:highlight w:val="none"/>
        </w:rPr>
        <w:t xml:space="preserve"> </w:t>
      </w:r>
      <w:r/>
    </w:p>
    <w:p>
      <w:pPr>
        <w:pStyle w:val="887"/>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87"/>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二、上一年度的财务状况报表</w:t>
      </w:r>
      <w:r/>
    </w:p>
    <w:p>
      <w:pPr>
        <w:pStyle w:val="88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供应商成立不满一年无需提供</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887"/>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87"/>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87"/>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87"/>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87"/>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887"/>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87"/>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87"/>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87"/>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887"/>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rFonts w:hint="eastAsia" w:ascii="黑体" w:hAnsi="宋体" w:eastAsia="黑体" w:cs="黑体"/>
          <w:i/>
          <w:color w:val="000000"/>
          <w:sz w:val="32"/>
          <w:szCs w:val="32"/>
          <w:u w:val="single"/>
        </w:rPr>
        <w:outlineLvl w:val="0"/>
      </w:pPr>
      <w:r>
        <w:rPr>
          <w:rFonts w:hint="eastAsia" w:ascii="黑体" w:hAnsi="宋体" w:eastAsia="黑体" w:cs="黑体"/>
          <w:i/>
          <w:color w:val="000000"/>
          <w:sz w:val="32"/>
          <w:szCs w:val="32"/>
          <w:u w:val="single"/>
        </w:rPr>
      </w:r>
      <w:r/>
    </w:p>
    <w:p>
      <w:pPr>
        <w:pStyle w:val="887"/>
        <w:jc w:val="both"/>
        <w:spacing w:beforeAutospacing="0" w:afterAutospacing="0"/>
        <w:rPr>
          <w:rFonts w:hint="eastAsia" w:ascii="黑体" w:hAnsi="宋体" w:eastAsia="黑体" w:cs="黑体"/>
          <w:i/>
          <w:color w:val="000000"/>
          <w:sz w:val="32"/>
          <w:szCs w:val="32"/>
          <w:u w:val="single"/>
        </w:rPr>
        <w:outlineLvl w:val="0"/>
      </w:pPr>
      <w:r>
        <w:rPr>
          <w:rFonts w:hint="eastAsia" w:ascii="黑体" w:hAnsi="宋体" w:eastAsia="黑体" w:cs="黑体"/>
          <w:i/>
          <w:color w:val="000000"/>
          <w:sz w:val="32"/>
          <w:szCs w:val="32"/>
          <w:u w:val="single"/>
        </w:rPr>
      </w:r>
      <w:r/>
    </w:p>
    <w:p>
      <w:pPr>
        <w:pStyle w:val="887"/>
        <w:jc w:val="both"/>
        <w:spacing w:beforeAutospacing="0" w:afterAutospacing="0"/>
        <w:rPr>
          <w:rFonts w:hint="eastAsia" w:ascii="黑体" w:hAnsi="宋体" w:eastAsia="黑体" w:cs="黑体"/>
          <w:i/>
          <w:color w:val="000000"/>
          <w:sz w:val="32"/>
          <w:szCs w:val="32"/>
          <w:u w:val="single"/>
        </w:rPr>
        <w:outlineLvl w:val="0"/>
      </w:pPr>
      <w:r>
        <w:rPr>
          <w:rFonts w:hint="eastAsia" w:ascii="黑体" w:hAnsi="宋体" w:eastAsia="黑体" w:cs="黑体"/>
          <w:i/>
          <w:color w:val="000000"/>
          <w:sz w:val="32"/>
          <w:szCs w:val="32"/>
          <w:u w:val="single"/>
        </w:rPr>
      </w:r>
      <w:r/>
    </w:p>
    <w:p>
      <w:pPr>
        <w:pStyle w:val="887"/>
        <w:jc w:val="both"/>
        <w:spacing w:beforeAutospacing="0" w:afterAutospacing="0"/>
        <w:rPr>
          <w:rFonts w:hint="eastAsia" w:ascii="黑体" w:hAnsi="宋体" w:eastAsia="黑体" w:cs="黑体"/>
          <w:i/>
          <w:color w:val="000000"/>
          <w:sz w:val="32"/>
          <w:szCs w:val="32"/>
          <w:u w:val="single"/>
        </w:rPr>
        <w:outlineLvl w:val="0"/>
      </w:pPr>
      <w:r>
        <w:rPr>
          <w:rFonts w:hint="eastAsia" w:ascii="黑体" w:hAnsi="宋体" w:eastAsia="黑体" w:cs="黑体"/>
          <w:i/>
          <w:color w:val="000000"/>
          <w:sz w:val="32"/>
          <w:szCs w:val="32"/>
          <w:u w:val="single"/>
        </w:rPr>
        <w:t xml:space="preserve">六、单位负责人为同一人或者存在直接控股、</w:t>
      </w:r>
      <w:r>
        <w:rPr>
          <w:rFonts w:hint="eastAsia" w:ascii="黑体" w:hAnsi="宋体" w:eastAsia="黑体" w:cs="黑体"/>
          <w:i/>
          <w:color w:val="000000"/>
          <w:sz w:val="32"/>
          <w:szCs w:val="32"/>
          <w:u w:val="single"/>
          <w:lang w:val="en-US" w:eastAsia="zh-CN"/>
        </w:rPr>
        <w:t xml:space="preserve">管理</w:t>
      </w:r>
      <w:r>
        <w:rPr>
          <w:rFonts w:hint="eastAsia" w:ascii="黑体" w:hAnsi="宋体" w:eastAsia="黑体" w:cs="黑体"/>
          <w:i/>
          <w:color w:val="000000"/>
          <w:sz w:val="32"/>
          <w:szCs w:val="32"/>
          <w:u w:val="single"/>
        </w:rPr>
        <w:t xml:space="preserve">关系的不同供应商，不得参加同一合同项下的政府采购活动。</w:t>
      </w:r>
      <w:r/>
    </w:p>
    <w:p>
      <w:pPr>
        <w:pStyle w:val="904"/>
        <w:jc w:val="center"/>
        <w:spacing w:line="0" w:lineRule="atLeast"/>
        <w:rPr>
          <w:rFonts w:hint="eastAsia" w:ascii="宋体" w:hAnsi="宋体" w:eastAsia="宋体"/>
        </w:rPr>
      </w:pPr>
      <w:r>
        <w:rPr>
          <w:rFonts w:hint="eastAsia" w:ascii="宋体" w:hAnsi="宋体" w:eastAsia="宋体" w:cs="宋体"/>
          <w:b/>
          <w:color w:val="000000"/>
          <w:sz w:val="44"/>
          <w:szCs w:val="44"/>
        </w:rPr>
        <w:t xml:space="preserve">声  明</w:t>
      </w:r>
      <w:r/>
    </w:p>
    <w:p>
      <w:pPr>
        <w:pStyle w:val="904"/>
        <w:ind w:firstLine="482"/>
        <w:rPr>
          <w:rFonts w:hint="eastAsia" w:ascii="宋体" w:hAnsi="宋体" w:eastAsia="宋体" w:cs="宋体"/>
          <w:color w:val="000000"/>
        </w:rPr>
      </w:pPr>
      <w:r>
        <w:rPr>
          <w:rFonts w:hint="eastAsia" w:ascii="宋体" w:hAnsi="宋体" w:eastAsia="宋体" w:cs="宋体"/>
          <w:color w:val="000000"/>
        </w:rPr>
      </w:r>
      <w:r/>
    </w:p>
    <w:p>
      <w:pPr>
        <w:pStyle w:val="904"/>
        <w:ind w:firstLine="482"/>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cs="宋体"/>
          <w:color w:val="000000"/>
          <w:sz w:val="24"/>
          <w:szCs w:val="24"/>
        </w:rPr>
        <w:t xml:space="preserve">我单位不存在：单位负责人为同一人或存在控股、管理关系的不同单位同时参加本项目，否则相关响应文件均无效。</w:t>
      </w:r>
      <w:r/>
    </w:p>
    <w:p>
      <w:pPr>
        <w:pStyle w:val="887"/>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87"/>
        <w:jc w:val="both"/>
        <w:spacing w:beforeAutospacing="0" w:afterAutospacing="0"/>
        <w:rPr>
          <w:rFonts w:hint="eastAsia" w:ascii="黑体" w:hAnsi="宋体" w:eastAsia="黑体" w:cs="黑体"/>
          <w:i/>
          <w:color w:val="000000"/>
          <w:sz w:val="32"/>
          <w:szCs w:val="32"/>
          <w:u w:val="single"/>
        </w:rPr>
        <w:outlineLvl w:val="0"/>
      </w:pPr>
      <w:r>
        <w:rPr>
          <w:rFonts w:hint="eastAsia" w:ascii="黑体" w:hAnsi="宋体" w:eastAsia="黑体" w:cs="黑体"/>
          <w:i/>
          <w:color w:val="000000"/>
          <w:sz w:val="32"/>
          <w:szCs w:val="32"/>
          <w:u w:val="single"/>
        </w:rPr>
      </w:r>
      <w:r/>
    </w:p>
    <w:p>
      <w:pPr>
        <w:pStyle w:val="887"/>
        <w:jc w:val="both"/>
        <w:spacing w:beforeAutospacing="0" w:afterAutospacing="0"/>
        <w:rPr>
          <w:rFonts w:hint="eastAsia" w:ascii="黑体" w:hAnsi="宋体" w:eastAsia="黑体" w:cs="黑体"/>
          <w:i/>
          <w:color w:val="000000"/>
          <w:sz w:val="32"/>
          <w:szCs w:val="32"/>
          <w:u w:val="single"/>
        </w:rPr>
        <w:outlineLvl w:val="0"/>
      </w:pPr>
      <w:r>
        <w:rPr>
          <w:rFonts w:hint="eastAsia" w:ascii="黑体" w:hAnsi="宋体" w:eastAsia="黑体" w:cs="黑体"/>
          <w:i/>
          <w:color w:val="000000"/>
          <w:sz w:val="32"/>
          <w:szCs w:val="32"/>
          <w:u w:val="single"/>
        </w:rPr>
        <w:t xml:space="preserve">七、特定资格要求的证明文件</w:t>
      </w:r>
      <w:r/>
    </w:p>
    <w:p>
      <w:pPr>
        <w:pStyle w:val="887"/>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87"/>
        <w:jc w:val="both"/>
        <w:spacing w:beforeAutospacing="0" w:afterAutospacing="0" w:line="0" w:lineRule="atLeast"/>
        <w:rPr>
          <w:color w:val="auto"/>
          <w:highlight w:val="none"/>
        </w:rPr>
      </w:pPr>
      <w:r>
        <w:rPr>
          <w:color w:val="auto"/>
          <w:highlight w:val="none"/>
        </w:rPr>
      </w:r>
      <w:r/>
    </w:p>
    <w:p>
      <w:pPr>
        <w:pStyle w:val="887"/>
        <w:jc w:val="both"/>
        <w:spacing w:beforeAutospacing="0" w:afterAutospacing="0" w:line="0" w:lineRule="atLeast"/>
        <w:rPr>
          <w:color w:val="auto"/>
          <w:highlight w:val="none"/>
        </w:rPr>
      </w:pPr>
      <w:r>
        <w:rPr>
          <w:color w:val="auto"/>
          <w:highlight w:val="none"/>
        </w:rPr>
      </w:r>
      <w:r/>
    </w:p>
    <w:p>
      <w:pPr>
        <w:pStyle w:val="887"/>
        <w:jc w:val="center"/>
        <w:spacing w:beforeAutospacing="0" w:afterAutospacing="0"/>
        <w:rPr>
          <w:rFonts w:ascii="黑体" w:hAnsi="宋体" w:eastAsia="黑体" w:cs="黑体"/>
          <w:i/>
          <w:color w:val="auto"/>
          <w:sz w:val="32"/>
          <w:szCs w:val="32"/>
          <w:highlight w:val="none"/>
          <w:u w:val="single"/>
        </w:rPr>
      </w:pPr>
      <w:r/>
      <w:bookmarkStart w:id="174" w:name="_Toc120614284"/>
      <w:r/>
      <w:r/>
    </w:p>
    <w:p>
      <w:pPr>
        <w:pStyle w:val="8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rPr>
          <w:rFonts w:ascii="黑体" w:hAnsi="宋体" w:eastAsia="黑体" w:cs="黑体"/>
          <w:i/>
          <w:color w:val="auto"/>
          <w:sz w:val="32"/>
          <w:szCs w:val="32"/>
          <w:highlight w:val="none"/>
          <w:u w:val="single"/>
        </w:rP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887"/>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p>
    <w:p>
      <w:pPr>
        <w:pStyle w:val="8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87"/>
        <w:numPr>
          <w:ilvl w:val="0"/>
          <w:numId w:val="2"/>
        </w:numPr>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 xml:space="preserve">法人授权书</w:t>
      </w:r>
      <w:r/>
    </w:p>
    <w:p>
      <w:pPr>
        <w:pStyle w:val="887"/>
        <w:numPr>
          <w:ilvl w:val="0"/>
          <w:numId w:val="0"/>
        </w:numPr>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87"/>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87"/>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87"/>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87"/>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87"/>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87"/>
        <w:ind w:firstLine="480"/>
        <w:jc w:val="both"/>
        <w:keepLines w:val="0"/>
        <w:keepNext w:val="0"/>
        <w:pageBreakBefore w:val="0"/>
        <w:spacing w:beforeAutospacing="0" w:afterAutospacing="0" w:line="360" w:lineRule="auto"/>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单位地址：</w:t>
      </w:r>
      <w:r>
        <w:rPr>
          <w:rFonts w:ascii="Times New Roman" w:hAnsi="Times New Roman"/>
          <w:color w:val="auto"/>
          <w:highlight w:val="none"/>
          <w:u w:val="single"/>
          <w:shd w:val="clear" w:color="auto" w:fill="auto"/>
        </w:rPr>
        <w:t xml:space="preserve">                                         </w:t>
      </w:r>
      <w:r/>
    </w:p>
    <w:p>
      <w:pPr>
        <w:pStyle w:val="887"/>
        <w:ind w:firstLine="480"/>
        <w:jc w:val="both"/>
        <w:keepLines w:val="0"/>
        <w:keepNext w:val="0"/>
        <w:pageBreakBefore w:val="0"/>
        <w:spacing w:beforeAutospacing="0" w:afterAutospacing="0" w:line="360" w:lineRule="auto"/>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日期：</w:t>
      </w:r>
      <w:bookmarkStart w:id="175" w:name="_格式3__银行出具的资信证明"/>
      <w:r/>
      <w:bookmarkStart w:id="176" w:name="_Hlt26671380"/>
      <w:r/>
      <w:bookmarkStart w:id="177" w:name="_Hlt26955070"/>
      <w:r>
        <w:rPr>
          <w:rFonts w:ascii="Times New Roman" w:hAnsi="Times New Roman"/>
          <w:color w:val="auto"/>
          <w:highlight w:val="none"/>
          <w:u w:val="single"/>
          <w:shd w:val="clear" w:color="auto" w:fill="auto"/>
        </w:rPr>
        <w:t xml:space="preserve">                                         </w:t>
      </w:r>
      <w:r/>
    </w:p>
    <w:p>
      <w:pPr>
        <w:pStyle w:val="887"/>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887"/>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87"/>
        <w:jc w:val="both"/>
        <w:spacing w:beforeAutospacing="0" w:afterAutospacing="0"/>
        <w:rPr>
          <w:color w:val="auto"/>
          <w:highlight w:val="none"/>
        </w:rPr>
      </w:pPr>
      <w:r>
        <w:rPr>
          <w:color w:val="auto"/>
          <w:highlight w:val="none"/>
        </w:rPr>
        <w:t xml:space="preserve"> </w:t>
      </w:r>
      <w:r/>
    </w:p>
    <w:tbl>
      <w:tblPr>
        <w:tblStyle w:val="8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1"/>
        <w:gridCol w:w="4981"/>
      </w:tblGrid>
      <w:tr>
        <w:trPr>
          <w:jc w:val="center"/>
          <w:trHeight w:val="58"/>
        </w:trPr>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委托代理人（被授权人）有效身份证明</w:t>
            </w:r>
            <w:r/>
          </w:p>
        </w:tc>
      </w:tr>
      <w:tr>
        <w:trPr>
          <w:jc w:val="center"/>
          <w:trHeight w:val="3904"/>
        </w:trPr>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身份证原件（正反）彩色扫描件粘贴处</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身份证原件（正反）彩色扫描件粘贴处</w:t>
            </w:r>
            <w:r/>
          </w:p>
          <w:p>
            <w:pPr>
              <w:jc w:val="center"/>
              <w:spacing w:line="600" w:lineRule="exact"/>
              <w:rPr>
                <w:color w:val="000000"/>
                <w:sz w:val="24"/>
              </w:rPr>
            </w:pPr>
            <w:r>
              <w:rPr>
                <w:rFonts w:hint="eastAsia"/>
                <w:color w:val="000000"/>
                <w:sz w:val="24"/>
              </w:rPr>
              <w:t xml:space="preserve">（可电子粘贴）</w:t>
            </w:r>
            <w:r/>
          </w:p>
        </w:tc>
      </w:tr>
    </w:tbl>
    <w:p>
      <w:pPr>
        <w:pStyle w:val="887"/>
        <w:ind w:firstLine="3390"/>
        <w:jc w:val="both"/>
        <w:keepLines/>
        <w:keepNext/>
        <w:spacing w:before="260" w:beforeAutospacing="0" w:after="260" w:afterAutospacing="0" w:line="415"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val="0"/>
          <w:bCs/>
          <w:color w:val="auto"/>
          <w:highlight w:val="none"/>
        </w:rPr>
        <w:t xml:space="preserve"> </w:t>
      </w:r>
      <w:r>
        <w:rPr>
          <w:rFonts w:hint="eastAsia" w:ascii="黑体" w:hAnsi="宋体" w:eastAsia="黑体" w:cs="黑体"/>
          <w:b w:val="0"/>
          <w:bCs/>
          <w:i/>
          <w:color w:val="auto"/>
          <w:sz w:val="32"/>
          <w:szCs w:val="32"/>
          <w:highlight w:val="none"/>
          <w:u w:val="single"/>
          <w:lang w:eastAsia="zh-CN"/>
        </w:rPr>
        <w:t xml:space="preserve">九</w:t>
      </w:r>
      <w:r>
        <w:rPr>
          <w:rFonts w:hint="eastAsia" w:ascii="黑体" w:hAnsi="宋体" w:eastAsia="黑体" w:cs="黑体"/>
          <w:b w:val="0"/>
          <w:bCs/>
          <w:i/>
          <w:color w:val="auto"/>
          <w:sz w:val="32"/>
          <w:szCs w:val="32"/>
          <w:highlight w:val="none"/>
          <w:u w:val="single"/>
        </w:rPr>
        <w:t xml:space="preserve">、磋商响应函</w:t>
      </w:r>
      <w:r/>
    </w:p>
    <w:p>
      <w:pPr>
        <w:pStyle w:val="887"/>
        <w:spacing w:beforeAutospacing="0" w:afterAutospacing="0" w:line="0" w:lineRule="atLeast"/>
        <w:rPr>
          <w:color w:val="auto"/>
          <w:highlight w:val="none"/>
        </w:rPr>
      </w:pPr>
      <w:r>
        <w:rPr>
          <w:rFonts w:hint="eastAsia" w:ascii="宋体" w:hAnsi="宋体" w:eastAsia="宋体" w:cs="宋体"/>
          <w:color w:val="auto"/>
          <w:highlight w:val="none"/>
        </w:rPr>
        <w:t xml:space="preserve">致：</w:t>
      </w:r>
      <w:r/>
    </w:p>
    <w:p>
      <w:pPr>
        <w:pStyle w:val="8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号磋商文件，正式授权下述签字人______(姓名)代表我方______________（供应商的名称），全权处理本次项目磋商的有关事宜。</w:t>
      </w:r>
      <w:r/>
    </w:p>
    <w:p>
      <w:pPr>
        <w:pStyle w:val="8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1.按磋商文件规定的各项要求，向买方提供所需货物、服务（包含与货物相关的服务及与服务相关的货物）。</w:t>
      </w:r>
      <w:r/>
    </w:p>
    <w:p>
      <w:pPr>
        <w:pStyle w:val="8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8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8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8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8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887"/>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7.我方与本磋商有关的正式通讯地址为：</w:t>
      </w:r>
      <w:r/>
    </w:p>
    <w:p>
      <w:pPr>
        <w:pStyle w:val="8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8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8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8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8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供应商开户行：</w:t>
      </w:r>
      <w:r/>
    </w:p>
    <w:p>
      <w:pPr>
        <w:pStyle w:val="8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8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887"/>
        <w:ind w:firstLine="240"/>
        <w:jc w:val="center"/>
        <w:spacing w:beforeAutospacing="0" w:afterAutospacing="0" w:line="0" w:lineRule="atLeast"/>
        <w:rPr>
          <w:color w:val="auto"/>
          <w:highlight w:val="none"/>
        </w:rPr>
      </w:pPr>
      <w:r>
        <w:rPr>
          <w:color w:val="auto"/>
          <w:highlight w:val="none"/>
        </w:rPr>
        <w:t xml:space="preserve"> </w:t>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t xml:space="preserve"> </w:t>
      </w:r>
      <w:r/>
    </w:p>
    <w:p>
      <w:pPr>
        <w:pStyle w:val="887"/>
        <w:ind w:firstLine="240"/>
        <w:jc w:val="center"/>
        <w:spacing w:beforeAutospacing="0" w:afterAutospacing="0" w:line="0" w:lineRule="atLeast"/>
        <w:rPr>
          <w:color w:val="auto"/>
          <w:highlight w:val="none"/>
        </w:rPr>
      </w:pPr>
      <w:r>
        <w:rPr>
          <w:color w:val="auto"/>
          <w:highlight w:val="none"/>
        </w:rPr>
        <w:t xml:space="preserve"> </w:t>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r>
      <w:r/>
    </w:p>
    <w:p>
      <w:pPr>
        <w:pStyle w:val="887"/>
        <w:ind w:firstLine="240"/>
        <w:jc w:val="center"/>
        <w:spacing w:beforeAutospacing="0" w:afterAutospacing="0" w:line="0" w:lineRule="atLeast"/>
        <w:rPr>
          <w:color w:val="auto"/>
          <w:highlight w:val="none"/>
        </w:rPr>
      </w:pPr>
      <w:r>
        <w:rPr>
          <w:color w:val="auto"/>
          <w:highlight w:val="none"/>
        </w:rPr>
        <w:t xml:space="preserve"> </w:t>
      </w:r>
      <w:r/>
    </w:p>
    <w:p>
      <w:pPr>
        <w:pStyle w:val="887"/>
        <w:ind w:firstLine="240"/>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b w:val="0"/>
          <w:bCs w:val="0"/>
          <w:color w:val="auto"/>
          <w:highlight w:val="none"/>
        </w:rPr>
      </w:pPr>
      <w:r>
        <w:rPr>
          <w:b w:val="0"/>
          <w:bCs w:val="0"/>
          <w:color w:val="auto"/>
          <w:highlight w:val="none"/>
        </w:rPr>
        <w:t xml:space="preserve"> </w:t>
      </w:r>
      <w:r>
        <w:rPr>
          <w:rFonts w:hint="eastAsia" w:ascii="黑体" w:hAnsi="宋体" w:eastAsia="黑体" w:cs="黑体"/>
          <w:b w:val="0"/>
          <w:bCs w:val="0"/>
          <w:color w:val="auto"/>
          <w:sz w:val="32"/>
          <w:szCs w:val="32"/>
          <w:highlight w:val="none"/>
          <w:lang w:eastAsia="zh-CN"/>
        </w:rPr>
        <w:t xml:space="preserve">十</w:t>
      </w:r>
      <w:r>
        <w:rPr>
          <w:rFonts w:hint="eastAsia" w:ascii="黑体" w:hAnsi="宋体" w:eastAsia="黑体" w:cs="黑体"/>
          <w:b w:val="0"/>
          <w:bCs w:val="0"/>
          <w:color w:val="auto"/>
          <w:sz w:val="32"/>
          <w:szCs w:val="32"/>
          <w:highlight w:val="none"/>
        </w:rPr>
        <w:t xml:space="preserve">、</w:t>
      </w:r>
      <w:r>
        <w:rPr>
          <w:rFonts w:hint="eastAsia" w:ascii="黑体" w:hAnsi="宋体" w:eastAsia="黑体" w:cs="黑体"/>
          <w:b w:val="0"/>
          <w:bCs w:val="0"/>
          <w:color w:val="auto"/>
          <w:sz w:val="32"/>
          <w:szCs w:val="32"/>
          <w:highlight w:val="none"/>
          <w:lang w:val="en-US" w:eastAsia="zh-CN"/>
        </w:rPr>
        <w:t xml:space="preserve">小微</w:t>
      </w:r>
      <w:r>
        <w:rPr>
          <w:rFonts w:hint="eastAsia" w:ascii="黑体" w:hAnsi="宋体" w:eastAsia="黑体" w:cs="黑体"/>
          <w:b w:val="0"/>
          <w:bCs w:val="0"/>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本公司郑重声明，根据《政府采购促进中小企业发展管理办法》（财库﹝2020﹞46 号）的规定，本公司参加</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的采购活动，服务全部由符合政策要求的小</w:t>
      </w:r>
      <w:r>
        <w:rPr>
          <w:rFonts w:hint="eastAsia"/>
          <w:color w:val="auto"/>
          <w:sz w:val="24"/>
          <w:highlight w:val="none"/>
          <w:lang w:eastAsia="zh-CN"/>
        </w:rPr>
        <w:t xml:space="preserve">微</w:t>
      </w:r>
      <w:r>
        <w:rPr>
          <w:rFonts w:hint="eastAsia"/>
          <w:color w:val="auto"/>
          <w:sz w:val="24"/>
          <w:highlight w:val="none"/>
        </w:rPr>
        <w:t xml:space="preserve">企业承接。相关企业的具体情况如下：</w:t>
      </w:r>
      <w:r/>
    </w:p>
    <w:p>
      <w:pPr>
        <w:numPr>
          <w:ilvl w:val="0"/>
          <w:numId w:val="3"/>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小型企业、微型企业</w:t>
      </w:r>
      <w:r>
        <w:rPr>
          <w:rFonts w:hint="eastAsia"/>
          <w:color w:val="auto"/>
          <w:sz w:val="24"/>
          <w:highlight w:val="none"/>
        </w:rPr>
        <w:t xml:space="preserve">）；</w:t>
      </w:r>
      <w:r/>
    </w:p>
    <w:p>
      <w:pPr>
        <w:numPr>
          <w:ilvl w:val="0"/>
          <w:numId w:val="3"/>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87"/>
        <w:ind w:right="720"/>
        <w:jc w:val="both"/>
        <w:spacing w:beforeAutospacing="0" w:afterAutospacing="0" w:line="0" w:lineRule="atLeast"/>
        <w:rPr>
          <w:color w:val="auto"/>
          <w:highlight w:val="none"/>
        </w:rPr>
      </w:pPr>
      <w:r>
        <w:rPr>
          <w:color w:val="auto"/>
          <w:highlight w:val="none"/>
        </w:rPr>
        <w:t xml:space="preserve"> </w:t>
      </w:r>
      <w:r/>
    </w:p>
    <w:p>
      <w:pPr>
        <w:pStyle w:val="887"/>
        <w:ind w:right="720"/>
        <w:jc w:val="both"/>
        <w:spacing w:beforeAutospacing="0" w:afterAutospacing="0" w:line="0" w:lineRule="atLeast"/>
        <w:rPr>
          <w:color w:val="auto"/>
          <w:highlight w:val="none"/>
        </w:rPr>
      </w:pPr>
      <w:r>
        <w:rPr>
          <w:color w:val="auto"/>
          <w:highlight w:val="none"/>
        </w:rPr>
      </w:r>
      <w:r/>
    </w:p>
    <w:p>
      <w:pPr>
        <w:pStyle w:val="887"/>
        <w:ind w:right="720"/>
        <w:jc w:val="both"/>
        <w:spacing w:beforeAutospacing="0" w:afterAutospacing="0" w:line="0" w:lineRule="atLeast"/>
        <w:rPr>
          <w:color w:val="auto"/>
          <w:highlight w:val="none"/>
        </w:rPr>
      </w:pPr>
      <w:r>
        <w:rPr>
          <w:color w:val="auto"/>
          <w:highlight w:val="none"/>
        </w:rPr>
      </w:r>
      <w:r/>
    </w:p>
    <w:p>
      <w:pPr>
        <w:pStyle w:val="887"/>
        <w:ind w:right="720"/>
        <w:jc w:val="both"/>
        <w:spacing w:beforeAutospacing="0" w:afterAutospacing="0" w:line="0" w:lineRule="atLeast"/>
        <w:rPr>
          <w:color w:val="auto"/>
          <w:highlight w:val="none"/>
        </w:rPr>
      </w:pPr>
      <w:r>
        <w:rPr>
          <w:color w:val="auto"/>
          <w:highlight w:val="none"/>
        </w:rPr>
      </w:r>
      <w:r/>
    </w:p>
    <w:p>
      <w:pPr>
        <w:pStyle w:val="887"/>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87"/>
        <w:ind w:right="480" w:firstLine="60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887"/>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ind w:firstLine="240"/>
        <w:jc w:val="both"/>
        <w:spacing w:beforeAutospacing="0" w:afterAutospacing="0" w:line="0" w:lineRule="atLeast"/>
        <w:rPr>
          <w:color w:val="auto"/>
          <w:highlight w:val="none"/>
        </w:rPr>
      </w:pPr>
      <w:r>
        <w:rPr>
          <w:color w:val="auto"/>
          <w:highlight w:val="none"/>
        </w:rPr>
        <w:t xml:space="preserve"> </w:t>
      </w:r>
      <w:r/>
    </w:p>
    <w:p>
      <w:pPr>
        <w:pStyle w:val="88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8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p>
    <w:p>
      <w:pPr>
        <w:pStyle w:val="887"/>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w:t>
      </w:r>
      <w:r>
        <w:rPr>
          <w:rFonts w:hint="eastAsia" w:ascii="黑体" w:hAnsi="宋体" w:eastAsia="黑体" w:cs="黑体"/>
          <w:b w:val="0"/>
          <w:bCs/>
          <w:color w:val="auto"/>
          <w:sz w:val="32"/>
          <w:szCs w:val="32"/>
          <w:highlight w:val="none"/>
        </w:rPr>
        <w:t xml:space="preserve">十</w:t>
      </w:r>
      <w:r>
        <w:rPr>
          <w:rFonts w:hint="eastAsia" w:ascii="黑体" w:hAnsi="宋体" w:eastAsia="黑体" w:cs="黑体"/>
          <w:b w:val="0"/>
          <w:bCs/>
          <w:color w:val="auto"/>
          <w:sz w:val="32"/>
          <w:szCs w:val="32"/>
          <w:highlight w:val="none"/>
          <w:lang w:eastAsia="zh-CN"/>
        </w:rPr>
        <w:t xml:space="preserve">一</w:t>
      </w:r>
      <w:r>
        <w:rPr>
          <w:rFonts w:hint="eastAsia" w:ascii="黑体" w:hAnsi="宋体" w:eastAsia="黑体" w:cs="黑体"/>
          <w:b w:val="0"/>
          <w:bCs/>
          <w:color w:val="auto"/>
          <w:sz w:val="32"/>
          <w:szCs w:val="32"/>
          <w:highlight w:val="none"/>
        </w:rPr>
        <w:t xml:space="preserve">、残疾人福利性单位声明函</w:t>
      </w:r>
      <w:r/>
    </w:p>
    <w:p>
      <w:pPr>
        <w:pStyle w:val="887"/>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141号）的规定，本单位为符合条件的残疾人福利性单位，且本单位参加______单位的磋商文件编号为______的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项目采购活动由本单位提供服务。</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（备注：1、供应商如不提供此声明函，价格将不做相应扣除。2、成交供应商为残疾人福利单位的，此声明函将随成交结果同时公告，接受社会监督）</w:t>
      </w:r>
      <w:r/>
    </w:p>
    <w:p>
      <w:pPr>
        <w:ind w:left="0" w:right="0" w:firstLine="624"/>
        <w:jc w:val="both"/>
        <w:spacing w:before="240" w:after="24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line="460"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240" w:after="240" w:line="460"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pStyle w:val="887"/>
        <w:ind w:right="1560" w:firstLine="480"/>
        <w:jc w:val="center"/>
        <w:keepLines w:val="0"/>
        <w:keepNext w:val="0"/>
        <w:pageBreakBefore w:val="0"/>
        <w:spacing w:beforeAutospacing="0" w:afterAutospacing="0" w:line="460" w:lineRule="exact"/>
        <w:widowControl w:val="off"/>
        <w:tabs>
          <w:tab w:val="left" w:pos="4864" w:leader="none"/>
        </w:tabs>
        <w:rPr>
          <w:color w:val="auto"/>
          <w:highlight w:val="none"/>
        </w:rPr>
      </w:pPr>
      <w:r>
        <w:rPr>
          <w:color w:val="auto"/>
          <w:highlight w:val="none"/>
        </w:rPr>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line="0" w:lineRule="atLeast"/>
        <w:rPr>
          <w:color w:val="auto"/>
          <w:highlight w:val="none"/>
        </w:rPr>
      </w:pPr>
      <w:r>
        <w:rPr>
          <w:color w:val="auto"/>
          <w:highlight w:val="none"/>
        </w:rPr>
      </w:r>
      <w:r/>
    </w:p>
    <w:p>
      <w:pPr>
        <w:pStyle w:val="887"/>
        <w:jc w:val="center"/>
        <w:spacing w:beforeAutospacing="0" w:afterAutospacing="0" w:line="0" w:lineRule="atLeast"/>
        <w:rPr>
          <w:color w:val="auto"/>
          <w:highlight w:val="none"/>
        </w:rPr>
      </w:pPr>
      <w:r>
        <w:rPr>
          <w:color w:val="auto"/>
          <w:highlight w:val="none"/>
        </w:rPr>
      </w:r>
      <w:r/>
    </w:p>
    <w:p>
      <w:pPr>
        <w:pStyle w:val="887"/>
        <w:jc w:val="center"/>
        <w:spacing w:beforeAutospacing="0" w:afterAutospacing="0" w:line="0" w:lineRule="atLeast"/>
        <w:rPr>
          <w:color w:val="auto"/>
          <w:highlight w:val="none"/>
        </w:rPr>
      </w:pPr>
      <w:r>
        <w:rPr>
          <w:color w:val="auto"/>
          <w:highlight w:val="none"/>
        </w:rPr>
      </w:r>
      <w:r/>
    </w:p>
    <w:p>
      <w:pPr>
        <w:pStyle w:val="887"/>
        <w:jc w:val="center"/>
        <w:spacing w:beforeAutospacing="0" w:afterAutospacing="0" w:line="0" w:lineRule="atLeast"/>
        <w:rPr>
          <w:color w:val="auto"/>
          <w:highlight w:val="none"/>
        </w:rPr>
      </w:pPr>
      <w:r>
        <w:rPr>
          <w:color w:val="auto"/>
          <w:highlight w:val="none"/>
        </w:rPr>
      </w:r>
      <w:r/>
    </w:p>
    <w:p>
      <w:pPr>
        <w:pStyle w:val="887"/>
        <w:jc w:val="center"/>
        <w:spacing w:beforeAutospacing="0" w:afterAutospacing="0" w:line="0" w:lineRule="atLeast"/>
        <w:rPr>
          <w:color w:val="auto"/>
          <w:highlight w:val="none"/>
        </w:rPr>
      </w:pPr>
      <w:r>
        <w:rPr>
          <w:color w:val="auto"/>
          <w:highlight w:val="none"/>
        </w:rPr>
      </w:r>
      <w:r/>
    </w:p>
    <w:p>
      <w:pPr>
        <w:pStyle w:val="887"/>
        <w:jc w:val="center"/>
        <w:spacing w:beforeAutospacing="0" w:afterAutospacing="0" w:line="0" w:lineRule="atLeast"/>
        <w:rPr>
          <w:color w:val="auto"/>
          <w:highlight w:val="none"/>
        </w:rPr>
      </w:pPr>
      <w:r>
        <w:rPr>
          <w:color w:val="auto"/>
          <w:highlight w:val="none"/>
        </w:rPr>
      </w:r>
      <w:r/>
    </w:p>
    <w:p>
      <w:pPr>
        <w:pStyle w:val="887"/>
        <w:jc w:val="center"/>
        <w:spacing w:beforeAutospacing="0" w:afterAutospacing="0" w:line="0" w:lineRule="atLeast"/>
        <w:rPr>
          <w:color w:val="auto"/>
          <w:highlight w:val="none"/>
        </w:rPr>
      </w:pPr>
      <w:r>
        <w:rPr>
          <w:color w:val="auto"/>
          <w:highlight w:val="none"/>
        </w:rPr>
      </w:r>
      <w:r/>
    </w:p>
    <w:p>
      <w:pPr>
        <w:pStyle w:val="887"/>
        <w:jc w:val="center"/>
        <w:spacing w:beforeAutospacing="0" w:afterAutospacing="0" w:line="0" w:lineRule="atLeast"/>
        <w:rPr>
          <w:color w:val="auto"/>
          <w:highlight w:val="none"/>
        </w:rPr>
      </w:pPr>
      <w:r>
        <w:rPr>
          <w:color w:val="auto"/>
          <w:highlight w:val="none"/>
        </w:rPr>
      </w:r>
      <w:r/>
    </w:p>
    <w:p>
      <w:pPr>
        <w:pStyle w:val="887"/>
        <w:jc w:val="center"/>
        <w:spacing w:beforeAutospacing="0" w:afterAutospacing="0" w:line="0" w:lineRule="atLeast"/>
        <w:rPr>
          <w:color w:val="auto"/>
          <w:highlight w:val="none"/>
        </w:rPr>
      </w:pPr>
      <w:r>
        <w:rPr>
          <w:color w:val="auto"/>
          <w:highlight w:val="none"/>
        </w:rPr>
      </w:r>
      <w:r/>
    </w:p>
    <w:p>
      <w:pPr>
        <w:pStyle w:val="887"/>
        <w:jc w:val="center"/>
        <w:spacing w:beforeAutospacing="0" w:afterAutospacing="0" w:line="0" w:lineRule="atLeast"/>
        <w:rPr>
          <w:color w:val="auto"/>
          <w:highlight w:val="none"/>
        </w:rPr>
      </w:pPr>
      <w:r>
        <w:rPr>
          <w:color w:val="auto"/>
          <w:highlight w:val="none"/>
        </w:rPr>
      </w:r>
      <w:r/>
    </w:p>
    <w:p>
      <w:pPr>
        <w:pStyle w:val="887"/>
        <w:jc w:val="center"/>
        <w:spacing w:beforeAutospacing="0" w:afterAutospacing="0" w:line="0" w:lineRule="atLeast"/>
        <w:rPr>
          <w:color w:val="auto"/>
          <w:highlight w:val="none"/>
        </w:rPr>
      </w:pPr>
      <w:r>
        <w:rPr>
          <w:color w:val="auto"/>
          <w:highlight w:val="none"/>
        </w:rPr>
      </w:r>
      <w:r/>
    </w:p>
    <w:p>
      <w:pPr>
        <w:pStyle w:val="887"/>
        <w:jc w:val="both"/>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rPr>
          <w:b w:val="0"/>
          <w:bCs/>
          <w:color w:val="auto"/>
          <w:highlight w:val="none"/>
        </w:rPr>
      </w:pPr>
      <w:r>
        <w:rPr>
          <w:rFonts w:hint="eastAsia" w:ascii="黑体" w:hAnsi="宋体" w:eastAsia="黑体" w:cs="黑体"/>
          <w:b w:val="0"/>
          <w:bCs/>
          <w:color w:val="auto"/>
          <w:sz w:val="32"/>
          <w:szCs w:val="32"/>
          <w:highlight w:val="none"/>
        </w:rPr>
        <w:t xml:space="preserve">十</w:t>
      </w:r>
      <w:r>
        <w:rPr>
          <w:rFonts w:hint="eastAsia" w:ascii="黑体" w:hAnsi="宋体" w:eastAsia="黑体" w:cs="黑体"/>
          <w:b w:val="0"/>
          <w:bCs/>
          <w:color w:val="auto"/>
          <w:sz w:val="32"/>
          <w:szCs w:val="32"/>
          <w:highlight w:val="none"/>
          <w:lang w:eastAsia="zh-CN"/>
        </w:rPr>
        <w:t xml:space="preserve">二</w:t>
      </w:r>
      <w:r>
        <w:rPr>
          <w:rFonts w:hint="eastAsia" w:ascii="黑体" w:hAnsi="宋体" w:eastAsia="黑体" w:cs="黑体"/>
          <w:b w:val="0"/>
          <w:bCs/>
          <w:color w:val="auto"/>
          <w:sz w:val="32"/>
          <w:szCs w:val="32"/>
          <w:highlight w:val="none"/>
        </w:rPr>
        <w:t xml:space="preserve">、分项报价表（服务类）</w:t>
      </w:r>
      <w:r/>
    </w:p>
    <w:tbl>
      <w:tblPr>
        <w:tblStyle w:val="874"/>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7"/>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7"/>
              <w:jc w:val="both"/>
              <w:spacing w:beforeAutospacing="0" w:afterAutospacing="0" w:line="0" w:lineRule="atLeast"/>
              <w:rPr>
                <w:color w:val="auto"/>
                <w:highlight w:val="none"/>
              </w:rPr>
            </w:pPr>
            <w:r>
              <w:rPr>
                <w:color w:val="auto"/>
                <w:highlight w:val="none"/>
              </w:rPr>
              <w:t xml:space="preserve"> </w:t>
            </w:r>
            <w:r/>
          </w:p>
        </w:tc>
      </w:tr>
    </w:tbl>
    <w:p>
      <w:pPr>
        <w:pStyle w:val="887"/>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jc w:val="both"/>
        <w:spacing w:beforeAutospacing="0" w:afterAutospacing="0"/>
        <w:rPr>
          <w:color w:val="auto"/>
          <w:highlight w:val="none"/>
          <w:shd w:val="clear" w:color="auto" w:fill="auto"/>
        </w:rPr>
      </w:pPr>
      <w:r>
        <w:rPr>
          <w:rFonts w:hint="eastAsia" w:ascii="宋体" w:hAnsi="宋体" w:eastAsia="宋体" w:cs="宋体"/>
          <w:color w:val="auto"/>
          <w:highlight w:val="none"/>
        </w:rPr>
        <w:t xml:space="preserve">备注： 磋商报价采用总承包方式，</w:t>
      </w:r>
      <w:r>
        <w:rPr>
          <w:rFonts w:hint="eastAsia" w:ascii="宋体" w:hAnsi="宋体" w:eastAsia="宋体" w:cs="宋体"/>
          <w:sz w:val="24"/>
        </w:rPr>
        <w:t xml:space="preserve">供应商</w:t>
      </w:r>
      <w:r>
        <w:rPr>
          <w:rFonts w:hint="eastAsia" w:ascii="宋体" w:hAnsi="宋体" w:eastAsia="宋体" w:cs="宋体"/>
          <w:color w:val="auto"/>
          <w:highlight w:val="none"/>
        </w:rPr>
        <w:t xml:space="preserve">的“总报价”应包括采购人需求的服务（包含与服务相关的产品）价格、质量保证费用、培训费用及售后服务费用，项</w:t>
      </w:r>
      <w:r>
        <w:rPr>
          <w:rFonts w:hint="eastAsia" w:ascii="宋体" w:hAnsi="宋体" w:eastAsia="宋体" w:cs="宋体"/>
          <w:color w:val="auto"/>
          <w:highlight w:val="none"/>
          <w:shd w:val="clear" w:color="auto" w:fill="auto"/>
        </w:rPr>
        <w:t xml:space="preserve">目在指定地点、环境交付、安装、调试、验收所需费用和所有相关税金费用及为完成整个项目所产生的其它所有费用。</w:t>
      </w:r>
      <w:r/>
    </w:p>
    <w:p>
      <w:pPr>
        <w:pStyle w:val="887"/>
        <w:jc w:val="both"/>
        <w:spacing w:beforeAutospacing="0" w:afterAutospacing="0"/>
        <w:rPr>
          <w:color w:val="auto"/>
          <w:highlight w:val="none"/>
        </w:rPr>
      </w:pPr>
      <w:r>
        <w:rPr>
          <w:color w:val="auto"/>
          <w:highlight w:val="none"/>
        </w:rPr>
      </w:r>
      <w:r/>
    </w:p>
    <w:p>
      <w:pPr>
        <w:pStyle w:val="887"/>
        <w:ind w:firstLine="420"/>
        <w:jc w:val="both"/>
        <w:spacing w:beforeAutospacing="0" w:afterAutospacing="0"/>
        <w:rPr>
          <w:rFonts w:ascii="宋体" w:hAnsi="宋体" w:eastAsia="宋体" w:cs="宋体"/>
          <w:color w:val="auto"/>
          <w:highlight w:val="none"/>
        </w:rPr>
      </w:pPr>
      <w:r/>
      <w:bookmarkStart w:id="178" w:name="_Toc462564146"/>
      <w:r/>
      <w:bookmarkStart w:id="179" w:name="_Hlt26955054"/>
      <w:r/>
      <w:bookmarkStart w:id="180" w:name="_Hlt26609389"/>
      <w:r/>
      <w:bookmarkStart w:id="181" w:name="_格式2__法定代表人授权书"/>
      <w:r/>
      <w:bookmarkStart w:id="182" w:name="_Hlt26671374"/>
      <w:r/>
      <w:bookmarkStart w:id="183" w:name="_Hlt26955066"/>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887"/>
        <w:ind w:firstLine="420"/>
        <w:jc w:val="both"/>
        <w:spacing w:beforeAutospacing="0" w:afterAutospacing="0"/>
        <w:rPr>
          <w:color w:val="auto"/>
          <w:highlight w:val="none"/>
        </w:rPr>
      </w:pPr>
      <w:r>
        <w:rPr>
          <w:color w:val="auto"/>
          <w:highlight w:val="none"/>
        </w:rPr>
        <w:t xml:space="preserve"> </w:t>
      </w:r>
      <w:bookmarkEnd w:id="7"/>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64"/>
      <w:r/>
      <w:bookmarkEnd w:id="165"/>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
    </w:p>
    <w:p>
      <w:pPr>
        <w:rPr>
          <w:color w:val="auto"/>
          <w:highlight w:val="none"/>
        </w:rPr>
      </w:pPr>
      <w:r>
        <w:rPr>
          <w:color w:val="auto"/>
          <w:highlight w:val="none"/>
        </w:rPr>
      </w:r>
      <w:r/>
    </w:p>
    <w:p>
      <w:pPr>
        <w:rPr>
          <w:color w:val="auto"/>
          <w:highlight w:val="none"/>
        </w:rPr>
      </w:pPr>
      <w:r>
        <w:rPr>
          <w:color w:val="auto"/>
          <w:highlight w:val="none"/>
        </w:rPr>
      </w:r>
      <w:r/>
    </w:p>
    <w:p>
      <w:pPr>
        <w:pStyle w:val="887"/>
        <w:ind w:right="1560" w:firstLine="624"/>
        <w:jc w:val="center"/>
        <w:keepLines w:val="0"/>
        <w:keepNext w:val="0"/>
        <w:pageBreakBefore w:val="0"/>
        <w:spacing w:beforeAutospacing="0" w:afterAutospacing="0" w:line="460" w:lineRule="exact"/>
        <w:widowControl w:val="off"/>
        <w:tabs>
          <w:tab w:val="left" w:pos="4864" w:leader="none"/>
        </w:tabs>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供应商全称（加盖CA电子公章）：</w:t>
      </w:r>
      <w:r/>
    </w:p>
    <w:p>
      <w:pPr>
        <w:pStyle w:val="887"/>
        <w:ind w:right="1560" w:firstLine="480"/>
        <w:jc w:val="center"/>
        <w:keepLines w:val="0"/>
        <w:keepNext w:val="0"/>
        <w:pageBreakBefore w:val="0"/>
        <w:spacing w:beforeAutospacing="0" w:afterAutospacing="0" w:line="460" w:lineRule="exact"/>
        <w:widowControl w:val="off"/>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87"/>
        <w:jc w:val="center"/>
        <w:spacing w:beforeAutospacing="0" w:afterAutospacing="0" w:line="0" w:lineRule="atLeast"/>
        <w:rPr>
          <w:color w:val="auto"/>
          <w:highlight w:val="none"/>
        </w:rPr>
      </w:pPr>
      <w:r>
        <w:rPr>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87"/>
        <w:jc w:val="center"/>
        <w:spacing w:beforeAutospacing="0" w:afterAutospacing="0" w:line="0" w:lineRule="atLeast"/>
        <w:rPr>
          <w:rFonts w:hint="eastAsia" w:ascii="黑体" w:hAnsi="宋体" w:eastAsia="黑体" w:cs="黑体"/>
          <w:b/>
          <w:i/>
          <w:iCs/>
          <w:color w:val="000000"/>
          <w:sz w:val="32"/>
          <w:szCs w:val="32"/>
          <w:u w:val="single"/>
          <w:lang w:eastAsia="zh-CN"/>
        </w:rPr>
        <w:outlineLvl w:val="0"/>
      </w:pPr>
      <w:r>
        <w:rPr>
          <w:rFonts w:hint="eastAsia" w:ascii="黑体" w:hAnsi="宋体" w:eastAsia="黑体" w:cs="黑体"/>
          <w:b w:val="0"/>
          <w:bCs/>
          <w:i/>
          <w:iCs/>
          <w:color w:val="000000"/>
          <w:sz w:val="32"/>
          <w:szCs w:val="32"/>
          <w:u w:val="single"/>
        </w:rPr>
        <w:t xml:space="preserve">十</w:t>
      </w:r>
      <w:r>
        <w:rPr>
          <w:rFonts w:hint="eastAsia" w:ascii="黑体" w:hAnsi="宋体" w:eastAsia="黑体" w:cs="黑体"/>
          <w:b w:val="0"/>
          <w:bCs/>
          <w:i/>
          <w:iCs/>
          <w:color w:val="000000"/>
          <w:sz w:val="32"/>
          <w:szCs w:val="32"/>
          <w:u w:val="single"/>
          <w:lang w:eastAsia="zh-CN"/>
        </w:rPr>
        <w:t xml:space="preserve">三</w:t>
      </w:r>
      <w:r>
        <w:rPr>
          <w:rFonts w:hint="eastAsia" w:ascii="黑体" w:hAnsi="宋体" w:eastAsia="黑体" w:cs="黑体"/>
          <w:b w:val="0"/>
          <w:bCs/>
          <w:i/>
          <w:iCs/>
          <w:color w:val="000000"/>
          <w:sz w:val="32"/>
          <w:szCs w:val="32"/>
          <w:u w:val="single"/>
        </w:rPr>
        <w:t xml:space="preserve">、</w:t>
      </w:r>
      <w:r>
        <w:rPr>
          <w:rFonts w:hint="eastAsia" w:ascii="黑体" w:hAnsi="宋体" w:eastAsia="黑体" w:cs="黑体"/>
          <w:b w:val="0"/>
          <w:bCs/>
          <w:i/>
          <w:iCs/>
          <w:color w:val="000000"/>
          <w:sz w:val="32"/>
          <w:szCs w:val="32"/>
          <w:u w:val="single"/>
          <w:lang w:eastAsia="zh-CN"/>
        </w:rPr>
        <w:t xml:space="preserve">承诺函</w:t>
      </w:r>
      <w:r/>
    </w:p>
    <w:p>
      <w:pPr>
        <w:ind w:firstLine="561"/>
        <w:spacing w:line="580" w:lineRule="auto"/>
        <w:rPr>
          <w:rFonts w:hAnsi="宋体" w:eastAsia="宋体" w:cs="宋体"/>
          <w:color w:val="000000"/>
          <w:sz w:val="24"/>
          <w:szCs w:val="24"/>
          <w:shd w:val="clear" w:color="auto" w:fill="ffffff"/>
        </w:rPr>
      </w:pPr>
      <w:r>
        <w:rPr>
          <w:rFonts w:hint="eastAsia" w:hAnsi="宋体" w:eastAsia="宋体" w:cs="宋体"/>
          <w:color w:val="000000"/>
          <w:sz w:val="24"/>
          <w:szCs w:val="24"/>
          <w:shd w:val="clear" w:color="auto" w:fill="ffffff"/>
        </w:rPr>
        <w:t xml:space="preserve">我公司完全响应磋商</w:t>
      </w:r>
      <w:r>
        <w:rPr>
          <w:rFonts w:hAnsi="宋体" w:eastAsia="宋体" w:cs="宋体"/>
          <w:color w:val="000000"/>
          <w:sz w:val="24"/>
          <w:szCs w:val="24"/>
          <w:shd w:val="clear" w:color="auto" w:fill="ffffff"/>
        </w:rPr>
        <w:t xml:space="preserve">文件</w:t>
      </w:r>
      <w:r>
        <w:rPr>
          <w:rFonts w:hint="eastAsia" w:hAnsi="宋体" w:eastAsia="宋体" w:cs="宋体"/>
          <w:color w:val="000000"/>
          <w:sz w:val="24"/>
          <w:szCs w:val="24"/>
          <w:shd w:val="clear" w:color="auto" w:fill="ffffff"/>
        </w:rPr>
        <w:t xml:space="preserve">采购</w:t>
      </w:r>
      <w:r>
        <w:rPr>
          <w:rFonts w:hAnsi="宋体" w:eastAsia="宋体" w:cs="宋体"/>
          <w:color w:val="000000"/>
          <w:sz w:val="24"/>
          <w:szCs w:val="24"/>
          <w:shd w:val="clear" w:color="auto" w:fill="ffffff"/>
        </w:rPr>
        <w:t xml:space="preserve">需求中规定的各项要求</w:t>
      </w:r>
      <w:r>
        <w:rPr>
          <w:rFonts w:hint="eastAsia" w:hAnsi="宋体" w:eastAsia="宋体" w:cs="宋体"/>
          <w:color w:val="000000"/>
          <w:sz w:val="24"/>
          <w:szCs w:val="24"/>
          <w:shd w:val="clear" w:color="auto" w:fill="ffffff"/>
        </w:rPr>
        <w:t xml:space="preserve">。</w:t>
      </w:r>
      <w:r/>
    </w:p>
    <w:p>
      <w:pPr>
        <w:ind w:firstLine="560"/>
        <w:rPr>
          <w:rFonts w:hAnsi="宋体" w:eastAsia="宋体" w:cs="宋体"/>
          <w:color w:val="000000"/>
          <w:sz w:val="24"/>
          <w:szCs w:val="24"/>
          <w:shd w:val="clear" w:color="auto" w:fill="ffffff"/>
        </w:rPr>
      </w:pPr>
      <w:r>
        <w:rPr>
          <w:rFonts w:hAnsi="宋体" w:eastAsia="宋体" w:cs="宋体"/>
          <w:color w:val="000000"/>
          <w:sz w:val="24"/>
          <w:szCs w:val="24"/>
          <w:shd w:val="clear" w:color="auto" w:fill="ffffff"/>
        </w:rPr>
      </w:r>
      <w:r/>
    </w:p>
    <w:p>
      <w:pPr>
        <w:ind w:firstLine="560"/>
        <w:rPr>
          <w:rFonts w:hAnsi="宋体" w:eastAsia="宋体" w:cs="宋体"/>
          <w:color w:val="000000"/>
          <w:sz w:val="24"/>
          <w:szCs w:val="24"/>
          <w:shd w:val="clear" w:color="auto" w:fill="ffffff"/>
        </w:rPr>
      </w:pPr>
      <w:r>
        <w:rPr>
          <w:rFonts w:hAnsi="宋体" w:eastAsia="宋体" w:cs="宋体"/>
          <w:color w:val="000000"/>
          <w:sz w:val="24"/>
          <w:szCs w:val="24"/>
          <w:shd w:val="clear" w:color="auto" w:fill="ffffff"/>
        </w:rPr>
      </w:r>
      <w:r/>
    </w:p>
    <w:p>
      <w:pPr>
        <w:ind w:firstLine="560"/>
        <w:rPr>
          <w:rFonts w:hAnsi="宋体" w:eastAsia="宋体" w:cs="宋体"/>
          <w:color w:val="000000"/>
          <w:sz w:val="24"/>
          <w:szCs w:val="24"/>
          <w:shd w:val="clear" w:color="auto" w:fill="ffffff"/>
        </w:rPr>
      </w:pPr>
      <w:r>
        <w:rPr>
          <w:rFonts w:hint="eastAsia" w:hAnsi="宋体" w:eastAsia="宋体" w:cs="宋体"/>
          <w:color w:val="000000"/>
          <w:sz w:val="24"/>
          <w:szCs w:val="24"/>
          <w:shd w:val="clear" w:color="auto" w:fill="ffffff"/>
        </w:rPr>
        <w:t xml:space="preserve">特此承诺</w:t>
      </w:r>
      <w:r/>
    </w:p>
    <w:p>
      <w:pPr>
        <w:pStyle w:val="906"/>
        <w:ind w:firstLine="560"/>
        <w:rPr>
          <w:rFonts w:hint="eastAsia" w:hAnsi="宋体" w:eastAsia="宋体" w:cs="Times New Roman"/>
          <w:sz w:val="24"/>
          <w:szCs w:val="24"/>
        </w:rPr>
      </w:pPr>
      <w:r>
        <w:rPr>
          <w:rFonts w:hint="eastAsia" w:hAnsi="宋体" w:eastAsia="宋体" w:cs="Times New Roman"/>
          <w:sz w:val="24"/>
          <w:szCs w:val="24"/>
        </w:rPr>
      </w:r>
      <w:r/>
    </w:p>
    <w:p>
      <w:pPr>
        <w:pStyle w:val="906"/>
        <w:ind w:firstLine="560"/>
        <w:rPr>
          <w:rFonts w:hint="eastAsia" w:hAnsi="宋体" w:eastAsia="宋体" w:cs="Times New Roman"/>
          <w:szCs w:val="28"/>
        </w:rPr>
      </w:pPr>
      <w:r>
        <w:rPr>
          <w:rFonts w:hint="eastAsia" w:hAnsi="宋体" w:eastAsia="宋体" w:cs="Times New Roman"/>
          <w:szCs w:val="28"/>
        </w:rPr>
      </w:r>
      <w:r/>
    </w:p>
    <w:p>
      <w:pPr>
        <w:pStyle w:val="887"/>
        <w:ind w:right="1560" w:firstLine="624"/>
        <w:jc w:val="center"/>
        <w:keepLines w:val="0"/>
        <w:keepNext w:val="0"/>
        <w:pageBreakBefore w:val="0"/>
        <w:spacing w:beforeAutospacing="0" w:afterAutospacing="0" w:line="460" w:lineRule="exact"/>
        <w:widowControl w:val="off"/>
        <w:tabs>
          <w:tab w:val="left" w:pos="4864" w:leader="none"/>
        </w:tabs>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供应商全称（加盖CA电子公章）：</w:t>
      </w:r>
      <w:r/>
    </w:p>
    <w:p>
      <w:pPr>
        <w:pStyle w:val="887"/>
        <w:ind w:right="1560" w:firstLine="480"/>
        <w:jc w:val="center"/>
        <w:keepLines w:val="0"/>
        <w:keepNext w:val="0"/>
        <w:pageBreakBefore w:val="0"/>
        <w:spacing w:beforeAutospacing="0" w:afterAutospacing="0" w:line="460" w:lineRule="exact"/>
        <w:widowControl w:val="off"/>
        <w:tabs>
          <w:tab w:val="left" w:pos="4864" w:leader="none"/>
        </w:tabs>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  期：</w:t>
      </w:r>
      <w:r/>
    </w:p>
    <w:p>
      <w:pPr>
        <w:pStyle w:val="887"/>
        <w:jc w:val="center"/>
        <w:spacing w:beforeAutospacing="0" w:afterAutospacing="0" w:line="0" w:lineRule="atLeast"/>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87"/>
        <w:numPr>
          <w:ilvl w:val="0"/>
          <w:numId w:val="4"/>
        </w:numPr>
        <w:jc w:val="center"/>
        <w:spacing w:beforeAutospacing="0" w:afterAutospacing="0"/>
        <w:rPr>
          <w:rFonts w:hint="eastAsia" w:ascii="黑体" w:hAnsi="宋体" w:eastAsia="黑体" w:cs="黑体"/>
          <w:b w:val="0"/>
          <w:bCs/>
          <w:color w:val="auto"/>
          <w:sz w:val="32"/>
          <w:szCs w:val="32"/>
          <w:highlight w:val="none"/>
        </w:rPr>
      </w:pPr>
      <w:r>
        <w:rPr>
          <w:rFonts w:hint="eastAsia" w:ascii="黑体" w:hAnsi="宋体" w:eastAsia="黑体" w:cs="黑体"/>
          <w:b w:val="0"/>
          <w:bCs/>
          <w:color w:val="auto"/>
          <w:sz w:val="32"/>
          <w:szCs w:val="32"/>
          <w:highlight w:val="none"/>
        </w:rPr>
        <w:t xml:space="preserve">商务要求响应及偏离表</w:t>
      </w:r>
      <w:r/>
    </w:p>
    <w:p>
      <w:pPr>
        <w:pStyle w:val="887"/>
        <w:numPr>
          <w:ilvl w:val="0"/>
          <w:numId w:val="0"/>
        </w:numPr>
        <w:jc w:val="both"/>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tbl>
      <w:tblPr>
        <w:tblStyle w:val="87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bookmarkStart w:id="184" w:name="_Hlt26671343"/>
            <w:r/>
            <w:bookmarkStart w:id="185" w:name="_Hlt26580838"/>
            <w:r/>
            <w:bookmarkStart w:id="186" w:name="_Hlt26955064"/>
            <w:r/>
            <w:bookmarkStart w:id="187" w:name="_Hlt26955056"/>
            <w:r/>
            <w:bookmarkStart w:id="188" w:name="_Hlt24879081"/>
            <w:r/>
            <w:bookmarkStart w:id="189" w:name="_Hlt26671372"/>
            <w:r/>
            <w:bookmarkStart w:id="190" w:name="_Hlt26609391"/>
            <w:r/>
            <w:bookmarkStart w:id="191" w:name="_Hlt26782999"/>
            <w:r>
              <w:rPr>
                <w:rFonts w:hint="eastAsia" w:ascii="宋体" w:hAnsi="宋体" w:eastAsia="宋体" w:cs="宋体"/>
                <w:color w:val="auto"/>
                <w:highlight w:val="none"/>
              </w:rPr>
              <w:t xml:space="preserve">序号</w:t>
            </w:r>
            <w:bookmarkEnd w:id="184"/>
            <w:r/>
            <w:bookmarkEnd w:id="185"/>
            <w:r/>
            <w:bookmarkEnd w:id="186"/>
            <w:r/>
            <w:bookmarkEnd w:id="187"/>
            <w:r/>
            <w:bookmarkEnd w:id="188"/>
            <w:r/>
            <w:bookmarkEnd w:id="189"/>
            <w:r/>
            <w:bookmarkEnd w:id="190"/>
            <w:r/>
            <w:bookmarkEnd w:id="191"/>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87"/>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highlight w:val="none"/>
              </w:rPr>
            </w:pPr>
            <w:r>
              <w:rPr>
                <w:color w:val="auto"/>
                <w:highlight w:val="none"/>
              </w:rPr>
              <w:t xml:space="preserve"> </w:t>
            </w:r>
            <w:r/>
          </w:p>
        </w:tc>
      </w:tr>
    </w:tbl>
    <w:p>
      <w:pPr>
        <w:pStyle w:val="887"/>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87"/>
        <w:jc w:val="both"/>
        <w:spacing w:beforeAutospacing="0" w:afterAutospacing="0" w:line="480" w:lineRule="auto"/>
        <w:rPr>
          <w:color w:val="auto"/>
          <w:highlight w:val="none"/>
        </w:rPr>
      </w:pPr>
      <w:r>
        <w:rPr>
          <w:color w:val="auto"/>
          <w:highlight w:val="none"/>
        </w:rPr>
        <w:t xml:space="preserve"> </w:t>
      </w:r>
      <w:r/>
    </w:p>
    <w:p>
      <w:pPr>
        <w:pStyle w:val="887"/>
        <w:jc w:val="both"/>
        <w:spacing w:beforeAutospacing="0" w:afterAutospacing="0" w:line="480" w:lineRule="auto"/>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r>
      <w:r/>
    </w:p>
    <w:p>
      <w:pPr>
        <w:pStyle w:val="887"/>
        <w:jc w:val="center"/>
        <w:spacing w:beforeAutospacing="0" w:afterAutospacing="0"/>
        <w:rPr>
          <w:color w:val="auto"/>
          <w:highlight w:val="none"/>
        </w:rPr>
      </w:pPr>
      <w:r>
        <w:rPr>
          <w:color w:val="auto"/>
          <w:highlight w:val="none"/>
        </w:rPr>
      </w:r>
      <w:r/>
    </w:p>
    <w:p>
      <w:pPr>
        <w:pStyle w:val="887"/>
        <w:jc w:val="center"/>
        <w:spacing w:beforeAutospacing="0" w:afterAutospacing="0"/>
        <w:rPr>
          <w:color w:val="auto"/>
          <w:highlight w:val="none"/>
        </w:rPr>
      </w:pPr>
      <w:r>
        <w:rPr>
          <w:color w:val="auto"/>
          <w:highlight w:val="none"/>
        </w:rPr>
      </w:r>
      <w:r/>
    </w:p>
    <w:p>
      <w:pPr>
        <w:pStyle w:val="887"/>
        <w:jc w:val="center"/>
        <w:spacing w:beforeAutospacing="0" w:afterAutospacing="0"/>
        <w:rPr>
          <w:color w:val="auto"/>
          <w:highlight w:val="none"/>
        </w:rPr>
      </w:pPr>
      <w:r>
        <w:rPr>
          <w:color w:val="auto"/>
          <w:highlight w:val="none"/>
        </w:rPr>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center"/>
        <w:spacing w:beforeAutospacing="0" w:afterAutospacing="0"/>
        <w:rPr>
          <w:color w:val="auto"/>
          <w:highlight w:val="none"/>
        </w:rPr>
      </w:pPr>
      <w:r>
        <w:rPr>
          <w:color w:val="auto"/>
          <w:highlight w:val="none"/>
        </w:rPr>
        <w:t xml:space="preserve"> </w:t>
      </w:r>
      <w:r/>
    </w:p>
    <w:p>
      <w:pPr>
        <w:pStyle w:val="887"/>
        <w:jc w:val="both"/>
        <w:spacing w:beforeAutospacing="0" w:afterAutospacing="0"/>
        <w:rPr>
          <w:color w:val="auto"/>
          <w:highlight w:val="none"/>
        </w:rPr>
      </w:pPr>
      <w:r>
        <w:rPr>
          <w:color w:val="auto"/>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887"/>
        <w:numPr>
          <w:ilvl w:val="0"/>
          <w:numId w:val="4"/>
        </w:numPr>
        <w:ind w:left="0" w:firstLine="0"/>
        <w:jc w:val="center"/>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t xml:space="preserve">开标一览表</w:t>
      </w:r>
      <w:r/>
    </w:p>
    <w:p>
      <w:pPr>
        <w:pStyle w:val="887"/>
        <w:numPr>
          <w:ilvl w:val="0"/>
          <w:numId w:val="0"/>
        </w:numPr>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887"/>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87"/>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8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87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87"/>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87"/>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87"/>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87"/>
        <w:jc w:val="both"/>
        <w:spacing w:beforeAutospacing="0" w:afterAutospacing="0"/>
        <w:rPr>
          <w:color w:val="auto"/>
          <w:highlight w:val="none"/>
        </w:rPr>
      </w:pPr>
      <w:r>
        <w:rPr>
          <w:color w:val="auto"/>
          <w:highlight w:val="none"/>
        </w:rPr>
        <w:t xml:space="preserve"> </w:t>
      </w:r>
      <w:r/>
    </w:p>
    <w:p>
      <w:pPr>
        <w:pStyle w:val="887"/>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87"/>
        <w:ind w:firstLine="480"/>
        <w:jc w:val="both"/>
        <w:spacing w:beforeAutospacing="0" w:afterAutospacing="0"/>
        <w:rPr>
          <w:highlight w:val="none"/>
        </w:rPr>
      </w:pPr>
      <w:r>
        <w:rPr>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before="50" w:after="50"/>
        <w:widowControl/>
        <w:rPr>
          <w:rFonts w:hint="eastAsia" w:ascii="黑体" w:hAnsi="黑体" w:eastAsia="黑体" w:cs="黑体"/>
          <w:sz w:val="24"/>
          <w:highlight w:val="none"/>
        </w:rPr>
      </w:pPr>
      <w:r>
        <w:rPr>
          <w:rFonts w:hint="eastAsia" w:ascii="黑体" w:hAnsi="黑体" w:eastAsia="黑体" w:cs="黑体"/>
          <w:color w:val="000000"/>
          <w:sz w:val="32"/>
          <w:szCs w:val="32"/>
          <w:highlight w:val="none"/>
        </w:rPr>
        <w:t xml:space="preserve">十</w:t>
      </w:r>
      <w:r>
        <w:rPr>
          <w:rFonts w:hint="eastAsia" w:ascii="黑体" w:hAnsi="黑体" w:eastAsia="黑体" w:cs="黑体"/>
          <w:color w:val="000000"/>
          <w:sz w:val="32"/>
          <w:szCs w:val="32"/>
          <w:highlight w:val="none"/>
          <w:lang w:eastAsia="zh-CN"/>
        </w:rPr>
        <w:t xml:space="preserve">六</w:t>
      </w:r>
      <w:r>
        <w:rPr>
          <w:rFonts w:hint="eastAsia" w:ascii="黑体" w:hAnsi="黑体" w:eastAsia="黑体" w:cs="黑体"/>
          <w:color w:val="000000"/>
          <w:sz w:val="32"/>
          <w:szCs w:val="32"/>
          <w:highlight w:val="none"/>
        </w:rPr>
        <w:t xml:space="preserve">、其他材料</w:t>
      </w:r>
      <w:r/>
    </w:p>
    <w:p>
      <w:pPr>
        <w:jc w:val="center"/>
        <w:spacing w:before="50" w:after="50"/>
        <w:widowControl/>
        <w:rPr>
          <w:rFonts w:hint="eastAsia" w:ascii="黑体" w:hAnsi="宋体" w:eastAsia="黑体" w:cs="黑体"/>
          <w:b w:val="0"/>
          <w:bCs/>
          <w:color w:val="auto"/>
          <w:sz w:val="32"/>
          <w:szCs w:val="32"/>
          <w:highlight w:val="none"/>
          <w:lang w:val="en-US" w:eastAsia="zh-CN" w:bidi="ar-SA"/>
        </w:rPr>
      </w:pPr>
      <w:r>
        <w:rPr>
          <w:rFonts w:hint="eastAsia"/>
          <w:color w:val="000000"/>
          <w:sz w:val="24"/>
          <w:szCs w:val="24"/>
          <w:lang w:eastAsia="zh-CN"/>
        </w:rPr>
        <w:t xml:space="preserve">磋商</w:t>
      </w:r>
      <w:r>
        <w:rPr>
          <w:color w:val="000000"/>
          <w:sz w:val="24"/>
          <w:szCs w:val="24"/>
        </w:rPr>
        <w:t xml:space="preserve">文件中规定要求提供的证明材料和</w:t>
      </w:r>
      <w:r>
        <w:rPr>
          <w:rFonts w:hint="eastAsia" w:ascii="宋体" w:hAnsi="宋体" w:eastAsia="宋体" w:cs="宋体"/>
          <w:color w:val="000000"/>
          <w:sz w:val="24"/>
          <w:szCs w:val="24"/>
          <w:lang w:eastAsia="zh-CN"/>
        </w:rPr>
        <w:t xml:space="preserve">供应商</w:t>
      </w:r>
      <w:r>
        <w:rPr>
          <w:color w:val="000000"/>
          <w:sz w:val="24"/>
          <w:szCs w:val="24"/>
        </w:rPr>
        <w:t xml:space="preserve">认为需要提供的</w:t>
      </w:r>
      <w:r/>
    </w:p>
    <w:p>
      <w:pPr>
        <w:pStyle w:val="887"/>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before="50" w:after="50"/>
        <w:widowControl/>
        <w:rPr>
          <w:rFonts w:hint="eastAsia" w:ascii="黑体" w:hAnsi="宋体" w:eastAsia="黑体" w:cs="黑体"/>
          <w:b w:val="0"/>
          <w:bCs/>
          <w:color w:val="auto"/>
          <w:sz w:val="32"/>
          <w:szCs w:val="32"/>
          <w:highlight w:val="none"/>
          <w:lang w:val="en-US" w:eastAsia="zh-CN" w:bidi="ar-SA"/>
        </w:rPr>
      </w:pPr>
      <w:r>
        <w:rPr>
          <w:rFonts w:hint="eastAsia" w:ascii="黑体" w:hAnsi="宋体" w:eastAsia="黑体" w:cs="黑体"/>
          <w:b w:val="0"/>
          <w:bCs/>
          <w:color w:val="auto"/>
          <w:sz w:val="32"/>
          <w:szCs w:val="32"/>
          <w:highlight w:val="none"/>
          <w:lang w:val="en-US" w:eastAsia="zh-CN" w:bidi="ar-SA"/>
        </w:rPr>
        <w:t xml:space="preserve">十七、盐城市政府采购事前信用承诺书</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firstLine="462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ind w:left="0" w:firstLine="4620"/>
        <w:jc w:val="both"/>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887"/>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887"/>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p>
    <w:p>
      <w:pPr>
        <w:pStyle w:val="887"/>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87"/>
        <w:jc w:val="both"/>
        <w:keepLines w:val="0"/>
        <w:keepNext w:val="0"/>
        <w:pageBreakBefore w:val="0"/>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7"/>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7"/>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7"/>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87"/>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87"/>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87"/>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87"/>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87"/>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7"/>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87"/>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87"/>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87"/>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87"/>
        <w:ind w:firstLine="42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keepLines w:val="0"/>
        <w:keepNext w:val="0"/>
        <w:pageBreakBefore w:val="0"/>
        <w:spacing w:line="360" w:lineRule="auto"/>
        <w:rPr>
          <w:color w:val="auto"/>
          <w:highlight w:val="none"/>
        </w:rPr>
      </w:pPr>
      <w:r>
        <w:rPr>
          <w:color w:val="auto"/>
          <w:highlight w:val="none"/>
        </w:rPr>
      </w:r>
      <w:r/>
    </w:p>
    <w:p>
      <w:pPr>
        <w:keepLines w:val="0"/>
        <w:keepNext w:val="0"/>
        <w:pageBreakBefore w:val="0"/>
        <w:spacing w:line="360" w:lineRule="auto"/>
        <w:rPr>
          <w:color w:val="auto"/>
          <w:highlight w:val="none"/>
        </w:rPr>
      </w:pPr>
      <w:r>
        <w:rPr>
          <w:color w:val="auto"/>
          <w:highlight w:val="none"/>
        </w:rPr>
      </w:r>
      <w:r/>
    </w:p>
    <w:sectPr>
      <w:footerReference w:type="default" r:id="rId11"/>
      <w:footnotePr/>
      <w:endnotePr/>
      <w:type w:val="nextPage"/>
      <w:pgSz w:w="11906" w:h="16838" w:orient="portrait"/>
      <w:pgMar w:top="1440" w:right="1746" w:bottom="1440" w:left="1746"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幼圆">
    <w:panose1 w:val="02010509060101010101"/>
  </w:font>
  <w:font w:name="黑体">
    <w:panose1 w:val="02010609060101010101"/>
  </w:font>
  <w:font w:name="Verdana">
    <w:panose1 w:val="020B060403050404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7">
    <w:name w:val="Heading 1 Char"/>
    <w:basedOn w:val="873"/>
    <w:link w:val="871"/>
    <w:uiPriority w:val="9"/>
    <w:rPr>
      <w:rFonts w:ascii="Arial" w:hAnsi="Arial" w:eastAsia="Arial" w:cs="Arial"/>
      <w:sz w:val="40"/>
      <w:szCs w:val="40"/>
    </w:rPr>
  </w:style>
  <w:style w:type="character" w:styleId="698">
    <w:name w:val="Heading 2 Char"/>
    <w:basedOn w:val="873"/>
    <w:link w:val="872"/>
    <w:uiPriority w:val="9"/>
    <w:rPr>
      <w:rFonts w:ascii="Arial" w:hAnsi="Arial" w:eastAsia="Arial" w:cs="Arial"/>
      <w:sz w:val="34"/>
    </w:rPr>
  </w:style>
  <w:style w:type="paragraph" w:styleId="699">
    <w:name w:val="Heading 3"/>
    <w:basedOn w:val="870"/>
    <w:next w:val="870"/>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basedOn w:val="873"/>
    <w:link w:val="699"/>
    <w:uiPriority w:val="9"/>
    <w:rPr>
      <w:rFonts w:ascii="Arial" w:hAnsi="Arial" w:eastAsia="Arial" w:cs="Arial"/>
      <w:sz w:val="30"/>
      <w:szCs w:val="30"/>
    </w:rPr>
  </w:style>
  <w:style w:type="paragraph" w:styleId="701">
    <w:name w:val="Heading 4"/>
    <w:basedOn w:val="870"/>
    <w:next w:val="870"/>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basedOn w:val="873"/>
    <w:link w:val="701"/>
    <w:uiPriority w:val="9"/>
    <w:rPr>
      <w:rFonts w:ascii="Arial" w:hAnsi="Arial" w:eastAsia="Arial" w:cs="Arial"/>
      <w:b/>
      <w:bCs/>
      <w:sz w:val="26"/>
      <w:szCs w:val="26"/>
    </w:rPr>
  </w:style>
  <w:style w:type="paragraph" w:styleId="703">
    <w:name w:val="Heading 5"/>
    <w:basedOn w:val="870"/>
    <w:next w:val="870"/>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basedOn w:val="873"/>
    <w:link w:val="703"/>
    <w:uiPriority w:val="9"/>
    <w:rPr>
      <w:rFonts w:ascii="Arial" w:hAnsi="Arial" w:eastAsia="Arial" w:cs="Arial"/>
      <w:b/>
      <w:bCs/>
      <w:sz w:val="24"/>
      <w:szCs w:val="24"/>
    </w:rPr>
  </w:style>
  <w:style w:type="paragraph" w:styleId="705">
    <w:name w:val="Heading 6"/>
    <w:basedOn w:val="870"/>
    <w:next w:val="870"/>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basedOn w:val="873"/>
    <w:link w:val="705"/>
    <w:uiPriority w:val="9"/>
    <w:rPr>
      <w:rFonts w:ascii="Arial" w:hAnsi="Arial" w:eastAsia="Arial" w:cs="Arial"/>
      <w:b/>
      <w:bCs/>
      <w:sz w:val="22"/>
      <w:szCs w:val="22"/>
    </w:rPr>
  </w:style>
  <w:style w:type="paragraph" w:styleId="707">
    <w:name w:val="Heading 7"/>
    <w:basedOn w:val="870"/>
    <w:next w:val="870"/>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basedOn w:val="873"/>
    <w:link w:val="707"/>
    <w:uiPriority w:val="9"/>
    <w:rPr>
      <w:rFonts w:ascii="Arial" w:hAnsi="Arial" w:eastAsia="Arial" w:cs="Arial"/>
      <w:b/>
      <w:bCs/>
      <w:i/>
      <w:iCs/>
      <w:sz w:val="22"/>
      <w:szCs w:val="22"/>
    </w:rPr>
  </w:style>
  <w:style w:type="paragraph" w:styleId="709">
    <w:name w:val="Heading 8"/>
    <w:basedOn w:val="870"/>
    <w:next w:val="870"/>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basedOn w:val="873"/>
    <w:link w:val="709"/>
    <w:uiPriority w:val="9"/>
    <w:rPr>
      <w:rFonts w:ascii="Arial" w:hAnsi="Arial" w:eastAsia="Arial" w:cs="Arial"/>
      <w:i/>
      <w:iCs/>
      <w:sz w:val="22"/>
      <w:szCs w:val="22"/>
    </w:rPr>
  </w:style>
  <w:style w:type="paragraph" w:styleId="711">
    <w:name w:val="Heading 9"/>
    <w:basedOn w:val="870"/>
    <w:next w:val="870"/>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basedOn w:val="873"/>
    <w:link w:val="711"/>
    <w:uiPriority w:val="9"/>
    <w:rPr>
      <w:rFonts w:ascii="Arial" w:hAnsi="Arial" w:eastAsia="Arial" w:cs="Arial"/>
      <w:i/>
      <w:iCs/>
      <w:sz w:val="21"/>
      <w:szCs w:val="21"/>
    </w:rPr>
  </w:style>
  <w:style w:type="paragraph" w:styleId="713">
    <w:name w:val="List Paragraph"/>
    <w:basedOn w:val="870"/>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0"/>
    <w:next w:val="870"/>
    <w:link w:val="716"/>
    <w:uiPriority w:val="10"/>
    <w:qFormat/>
    <w:pPr>
      <w:contextualSpacing/>
      <w:spacing w:before="300" w:after="200"/>
    </w:pPr>
    <w:rPr>
      <w:sz w:val="48"/>
      <w:szCs w:val="48"/>
    </w:rPr>
  </w:style>
  <w:style w:type="character" w:styleId="716">
    <w:name w:val="Title Char"/>
    <w:basedOn w:val="873"/>
    <w:link w:val="715"/>
    <w:uiPriority w:val="10"/>
    <w:rPr>
      <w:sz w:val="48"/>
      <w:szCs w:val="48"/>
    </w:rPr>
  </w:style>
  <w:style w:type="paragraph" w:styleId="717">
    <w:name w:val="Subtitle"/>
    <w:basedOn w:val="870"/>
    <w:next w:val="870"/>
    <w:link w:val="718"/>
    <w:uiPriority w:val="11"/>
    <w:qFormat/>
    <w:pPr>
      <w:spacing w:before="200" w:after="200"/>
    </w:pPr>
    <w:rPr>
      <w:sz w:val="24"/>
      <w:szCs w:val="24"/>
    </w:rPr>
  </w:style>
  <w:style w:type="character" w:styleId="718">
    <w:name w:val="Subtitle Char"/>
    <w:basedOn w:val="873"/>
    <w:link w:val="717"/>
    <w:uiPriority w:val="11"/>
    <w:rPr>
      <w:sz w:val="24"/>
      <w:szCs w:val="24"/>
    </w:rPr>
  </w:style>
  <w:style w:type="paragraph" w:styleId="719">
    <w:name w:val="Quote"/>
    <w:basedOn w:val="870"/>
    <w:next w:val="870"/>
    <w:link w:val="720"/>
    <w:uiPriority w:val="29"/>
    <w:qFormat/>
    <w:pPr>
      <w:ind w:left="720" w:right="720"/>
    </w:pPr>
    <w:rPr>
      <w:i/>
    </w:rPr>
  </w:style>
  <w:style w:type="character" w:styleId="720">
    <w:name w:val="Quote Char"/>
    <w:link w:val="719"/>
    <w:uiPriority w:val="29"/>
    <w:rPr>
      <w:i/>
    </w:rPr>
  </w:style>
  <w:style w:type="paragraph" w:styleId="721">
    <w:name w:val="Intense Quote"/>
    <w:basedOn w:val="870"/>
    <w:next w:val="870"/>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73"/>
    <w:link w:val="885"/>
    <w:uiPriority w:val="99"/>
  </w:style>
  <w:style w:type="character" w:styleId="724">
    <w:name w:val="Footer Char"/>
    <w:basedOn w:val="873"/>
    <w:link w:val="884"/>
    <w:uiPriority w:val="99"/>
  </w:style>
  <w:style w:type="paragraph" w:styleId="725">
    <w:name w:val="Caption"/>
    <w:basedOn w:val="870"/>
    <w:next w:val="870"/>
    <w:uiPriority w:val="35"/>
    <w:semiHidden/>
    <w:unhideWhenUsed/>
    <w:qFormat/>
    <w:pPr>
      <w:spacing w:line="276" w:lineRule="auto"/>
    </w:pPr>
    <w:rPr>
      <w:b/>
      <w:bCs/>
      <w:color w:val="4f81bd" w:themeColor="accent1"/>
      <w:sz w:val="18"/>
      <w:szCs w:val="18"/>
    </w:rPr>
  </w:style>
  <w:style w:type="character" w:styleId="726">
    <w:name w:val="Caption Char"/>
    <w:basedOn w:val="725"/>
    <w:link w:val="884"/>
    <w:uiPriority w:val="99"/>
  </w:style>
  <w:style w:type="table" w:styleId="727">
    <w:name w:val="Table Grid"/>
    <w:basedOn w:val="87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4">
    <w:name w:val="Grid Table 5 Dark - Accent 2"/>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5">
    <w:name w:val="Grid Table 5 Dark - Accent 3"/>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6">
    <w:name w:val="Grid Table 5 Dark- Accent 4"/>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7">
    <w:name w:val="Grid Table 5 Dark - Accent 5"/>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8">
    <w:name w:val="Grid Table 5 Dark - Accent 6"/>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9">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6">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7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7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7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7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7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7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9">
    <w:name w:val="List Table 3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0">
    <w:name w:val="List Table 3 - Accent 3"/>
    <w:basedOn w:val="8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1">
    <w:name w:val="List Table 3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2">
    <w:name w:val="List Table 3 - Accent 5"/>
    <w:basedOn w:val="8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3">
    <w:name w:val="List Table 3 - Accent 6"/>
    <w:basedOn w:val="8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4">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6">
    <w:name w:val="List Table 4 - Accent 2"/>
    <w:basedOn w:val="8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7">
    <w:name w:val="List Table 4 - Accent 3"/>
    <w:basedOn w:val="8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8">
    <w:name w:val="List Table 4 - Accent 4"/>
    <w:basedOn w:val="8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9">
    <w:name w:val="List Table 4 - Accent 5"/>
    <w:basedOn w:val="8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0">
    <w:name w:val="List Table 4 - Accent 6"/>
    <w:basedOn w:val="8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1">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0">
    <w:name w:val="List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1">
    <w:name w:val="List Table 6 Colorful - Accent 3"/>
    <w:basedOn w:val="8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2">
    <w:name w:val="List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3">
    <w:name w:val="List Table 6 Colorful - Accent 5"/>
    <w:basedOn w:val="8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4">
    <w:name w:val="List Table 6 Colorful - Accent 6"/>
    <w:basedOn w:val="8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5">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7">
    <w:name w:val="List Table 7 Colorful - Accent 2"/>
    <w:basedOn w:val="8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8">
    <w:name w:val="List Table 7 Colorful - Accent 3"/>
    <w:basedOn w:val="8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9">
    <w:name w:val="List Table 7 Colorful - Accent 4"/>
    <w:basedOn w:val="8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0">
    <w:name w:val="List Table 7 Colorful - Accent 5"/>
    <w:basedOn w:val="8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1">
    <w:name w:val="List Table 7 Colorful - Accent 6"/>
    <w:basedOn w:val="8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2">
    <w:name w:val="Lined - Accent"/>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4">
    <w:name w:val="Lined - Accent 2"/>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5">
    <w:name w:val="Lined - Accent 3"/>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6">
    <w:name w:val="Lined - Accent 4"/>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7">
    <w:name w:val="Lined - Accent 5"/>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8">
    <w:name w:val="Lined - Accent 6"/>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9">
    <w:name w:val="Bordered &amp; Lined - Accent"/>
    <w:basedOn w:val="8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1">
    <w:name w:val="Bordered &amp; Lined - Accent 2"/>
    <w:basedOn w:val="8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2">
    <w:name w:val="Bordered &amp; Lined - Accent 3"/>
    <w:basedOn w:val="8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3">
    <w:name w:val="Bordered &amp; Lined - Accent 4"/>
    <w:basedOn w:val="8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4">
    <w:name w:val="Bordered &amp; Lined - Accent 5"/>
    <w:basedOn w:val="8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5">
    <w:name w:val="Bordered &amp; Lined - Accent 6"/>
    <w:basedOn w:val="8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6">
    <w:name w:val="Bordered"/>
    <w:basedOn w:val="8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0"/>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basedOn w:val="873"/>
    <w:uiPriority w:val="99"/>
    <w:unhideWhenUsed/>
    <w:rPr>
      <w:vertAlign w:val="superscript"/>
    </w:rPr>
  </w:style>
  <w:style w:type="paragraph" w:styleId="857">
    <w:name w:val="endnote text"/>
    <w:basedOn w:val="870"/>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73"/>
    <w:uiPriority w:val="99"/>
    <w:semiHidden/>
    <w:unhideWhenUsed/>
    <w:rPr>
      <w:vertAlign w:val="superscript"/>
    </w:rPr>
  </w:style>
  <w:style w:type="paragraph" w:styleId="860">
    <w:name w:val="toc 1"/>
    <w:basedOn w:val="870"/>
    <w:next w:val="870"/>
    <w:uiPriority w:val="39"/>
    <w:unhideWhenUsed/>
    <w:pPr>
      <w:ind w:left="0" w:right="0" w:firstLine="0"/>
      <w:spacing w:after="57"/>
    </w:pPr>
  </w:style>
  <w:style w:type="paragraph" w:styleId="861">
    <w:name w:val="toc 2"/>
    <w:basedOn w:val="870"/>
    <w:next w:val="870"/>
    <w:uiPriority w:val="39"/>
    <w:unhideWhenUsed/>
    <w:pPr>
      <w:ind w:left="283" w:right="0" w:firstLine="0"/>
      <w:spacing w:after="57"/>
    </w:pPr>
  </w:style>
  <w:style w:type="paragraph" w:styleId="862">
    <w:name w:val="toc 3"/>
    <w:basedOn w:val="870"/>
    <w:next w:val="870"/>
    <w:uiPriority w:val="39"/>
    <w:unhideWhenUsed/>
    <w:pPr>
      <w:ind w:left="567" w:right="0" w:firstLine="0"/>
      <w:spacing w:after="57"/>
    </w:pPr>
  </w:style>
  <w:style w:type="paragraph" w:styleId="863">
    <w:name w:val="toc 4"/>
    <w:basedOn w:val="870"/>
    <w:next w:val="870"/>
    <w:uiPriority w:val="39"/>
    <w:unhideWhenUsed/>
    <w:pPr>
      <w:ind w:left="850" w:right="0" w:firstLine="0"/>
      <w:spacing w:after="57"/>
    </w:pPr>
  </w:style>
  <w:style w:type="paragraph" w:styleId="864">
    <w:name w:val="toc 5"/>
    <w:basedOn w:val="870"/>
    <w:next w:val="870"/>
    <w:uiPriority w:val="39"/>
    <w:unhideWhenUsed/>
    <w:pPr>
      <w:ind w:left="1134"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next w:val="87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71">
    <w:name w:val="Heading 1"/>
    <w:basedOn w:val="870"/>
    <w:next w:val="870"/>
    <w:uiPriority w:val="0"/>
    <w:qFormat/>
    <w:pPr>
      <w:keepLines/>
      <w:keepNext/>
      <w:spacing w:before="340" w:after="330" w:line="578" w:lineRule="atLeast"/>
      <w:outlineLvl w:val="0"/>
    </w:pPr>
    <w:rPr>
      <w:b/>
      <w:bCs/>
      <w:sz w:val="44"/>
      <w:szCs w:val="44"/>
    </w:rPr>
  </w:style>
  <w:style w:type="paragraph" w:styleId="872">
    <w:name w:val="Heading 2"/>
    <w:basedOn w:val="870"/>
    <w:next w:val="870"/>
    <w:link w:val="90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Body Text First Indent 2"/>
    <w:basedOn w:val="876"/>
    <w:next w:val="870"/>
    <w:uiPriority w:val="0"/>
    <w:qFormat/>
    <w:pPr>
      <w:ind w:firstLine="420"/>
    </w:pPr>
  </w:style>
  <w:style w:type="paragraph" w:styleId="876">
    <w:name w:val="Body Text Indent"/>
    <w:basedOn w:val="870"/>
    <w:next w:val="877"/>
    <w:uiPriority w:val="0"/>
    <w:qFormat/>
    <w:pPr>
      <w:ind w:left="420"/>
      <w:spacing w:after="120"/>
    </w:pPr>
    <w:rPr>
      <w:sz w:val="24"/>
    </w:rPr>
  </w:style>
  <w:style w:type="paragraph" w:styleId="877">
    <w:name w:val="envelope return"/>
    <w:basedOn w:val="870"/>
    <w:uiPriority w:val="0"/>
    <w:qFormat/>
    <w:rPr>
      <w:rFonts w:ascii="Arial" w:hAnsi="Arial"/>
    </w:rPr>
  </w:style>
  <w:style w:type="paragraph" w:styleId="878">
    <w:name w:val="Note Heading"/>
    <w:basedOn w:val="870"/>
    <w:next w:val="870"/>
    <w:uiPriority w:val="0"/>
    <w:qFormat/>
    <w:rPr>
      <w:rFonts w:ascii="Verdana" w:hAnsi="Verdana"/>
      <w:szCs w:val="20"/>
    </w:rPr>
  </w:style>
  <w:style w:type="paragraph" w:styleId="879">
    <w:name w:val="Normal Indent"/>
    <w:basedOn w:val="870"/>
    <w:uiPriority w:val="0"/>
    <w:qFormat/>
    <w:pPr>
      <w:ind w:firstLine="420"/>
    </w:pPr>
    <w:rPr>
      <w:sz w:val="24"/>
    </w:rPr>
  </w:style>
  <w:style w:type="paragraph" w:styleId="880">
    <w:name w:val="annotation text"/>
    <w:basedOn w:val="870"/>
    <w:uiPriority w:val="0"/>
    <w:qFormat/>
    <w:pPr>
      <w:jc w:val="left"/>
    </w:pPr>
  </w:style>
  <w:style w:type="paragraph" w:styleId="881">
    <w:name w:val="Body Text"/>
    <w:basedOn w:val="870"/>
    <w:next w:val="870"/>
    <w:uiPriority w:val="0"/>
    <w:qFormat/>
    <w:pPr>
      <w:spacing w:after="120"/>
    </w:pPr>
  </w:style>
  <w:style w:type="paragraph" w:styleId="882">
    <w:name w:val="Block Text"/>
    <w:basedOn w:val="870"/>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883">
    <w:name w:val="Date"/>
    <w:basedOn w:val="870"/>
    <w:next w:val="870"/>
    <w:uiPriority w:val="0"/>
    <w:qFormat/>
    <w:pPr>
      <w:ind w:left="100"/>
    </w:pPr>
    <w:rPr>
      <w:sz w:val="24"/>
    </w:rPr>
  </w:style>
  <w:style w:type="paragraph" w:styleId="884">
    <w:name w:val="Footer"/>
    <w:basedOn w:val="870"/>
    <w:link w:val="897"/>
    <w:uiPriority w:val="0"/>
    <w:qFormat/>
    <w:pPr>
      <w:jc w:val="left"/>
      <w:tabs>
        <w:tab w:val="center" w:pos="4153" w:leader="none"/>
        <w:tab w:val="right" w:pos="8306" w:leader="none"/>
      </w:tabs>
    </w:pPr>
    <w:rPr>
      <w:sz w:val="18"/>
      <w:szCs w:val="18"/>
    </w:rPr>
  </w:style>
  <w:style w:type="paragraph" w:styleId="885">
    <w:name w:val="Header"/>
    <w:basedOn w:val="870"/>
    <w:link w:val="896"/>
    <w:uiPriority w:val="0"/>
    <w:qFormat/>
    <w:pPr>
      <w:jc w:val="center"/>
      <w:tabs>
        <w:tab w:val="center" w:pos="4153" w:leader="none"/>
        <w:tab w:val="right" w:pos="8306" w:leader="none"/>
      </w:tabs>
      <w:pBdr>
        <w:bottom w:val="single" w:color="auto" w:sz="6" w:space="1"/>
      </w:pBdr>
    </w:pPr>
    <w:rPr>
      <w:sz w:val="18"/>
      <w:szCs w:val="18"/>
    </w:rPr>
  </w:style>
  <w:style w:type="paragraph" w:styleId="886">
    <w:name w:val="toc 6"/>
    <w:basedOn w:val="870"/>
    <w:next w:val="870"/>
    <w:uiPriority w:val="0"/>
    <w:semiHidden/>
    <w:qFormat/>
    <w:pPr>
      <w:ind w:left="2100"/>
    </w:pPr>
  </w:style>
  <w:style w:type="paragraph" w:styleId="887">
    <w:name w:val="Normal (Web)"/>
    <w:basedOn w:val="870"/>
    <w:uiPriority w:val="0"/>
    <w:qFormat/>
    <w:pPr>
      <w:jc w:val="left"/>
      <w:spacing w:beforeAutospacing="1" w:afterAutospacing="1"/>
    </w:pPr>
    <w:rPr>
      <w:rFonts w:cs="Times New Roman"/>
      <w:sz w:val="24"/>
    </w:rPr>
  </w:style>
  <w:style w:type="paragraph" w:styleId="888">
    <w:name w:val="Body Text First Indent"/>
    <w:basedOn w:val="870"/>
    <w:next w:val="870"/>
    <w:uiPriority w:val="0"/>
    <w:qFormat/>
    <w:pPr>
      <w:ind w:firstLine="420"/>
    </w:pPr>
    <w:rPr>
      <w:sz w:val="24"/>
    </w:rPr>
  </w:style>
  <w:style w:type="paragraph" w:styleId="889" w:customStyle="1">
    <w:name w:val="正文文本缩进11"/>
    <w:basedOn w:val="870"/>
    <w:next w:val="890"/>
    <w:uiPriority w:val="0"/>
    <w:qFormat/>
    <w:pPr>
      <w:ind w:left="420"/>
      <w:spacing w:after="120"/>
    </w:pPr>
    <w:rPr>
      <w:sz w:val="24"/>
    </w:rPr>
  </w:style>
  <w:style w:type="paragraph" w:styleId="890" w:customStyle="1">
    <w:name w:val="寄信人地址1"/>
    <w:basedOn w:val="870"/>
    <w:uiPriority w:val="0"/>
    <w:qFormat/>
    <w:rPr>
      <w:rFonts w:ascii="Arial" w:hAnsi="Arial"/>
    </w:rPr>
  </w:style>
  <w:style w:type="paragraph" w:styleId="891" w:customStyle="1">
    <w:name w:val="一级条标题"/>
    <w:basedOn w:val="892"/>
    <w:next w:val="893"/>
    <w:uiPriority w:val="0"/>
    <w:qFormat/>
    <w:pPr>
      <w:ind w:left="907" w:hanging="907"/>
      <w:tabs>
        <w:tab w:val="left" w:pos="810" w:leader="none"/>
        <w:tab w:val="left" w:pos="907" w:leader="none"/>
        <w:tab w:val="left" w:pos="1265" w:leader="none"/>
      </w:tabs>
      <w:outlineLvl w:val="2"/>
    </w:pPr>
    <w:rPr>
      <w:rFonts w:hAnsi="宋体" w:eastAsia="宋体"/>
      <w:sz w:val="20"/>
    </w:rPr>
  </w:style>
  <w:style w:type="paragraph" w:styleId="892" w:customStyle="1">
    <w:name w:val="章标题"/>
    <w:next w:val="870"/>
    <w:uiPriority w:val="0"/>
    <w:qFormat/>
    <w:pPr>
      <w:jc w:val="both"/>
      <w:outlineLvl w:val="1"/>
    </w:pPr>
    <w:rPr>
      <w:rFonts w:ascii="Times New Roman" w:hAnsi="Times New Roman" w:eastAsia="黑体" w:cs="Times New Roman"/>
      <w:sz w:val="21"/>
      <w:lang w:val="en-US" w:eastAsia="zh-CN" w:bidi="ar-SA"/>
    </w:rPr>
  </w:style>
  <w:style w:type="paragraph" w:styleId="893" w:customStyle="1">
    <w:name w:val="段"/>
    <w:next w:val="870"/>
    <w:uiPriority w:val="0"/>
    <w:qFormat/>
    <w:pPr>
      <w:ind w:firstLine="200"/>
      <w:jc w:val="both"/>
    </w:pPr>
    <w:rPr>
      <w:rFonts w:ascii="宋体" w:hAnsi="Times New Roman" w:eastAsia="宋体" w:cs="Times New Roman"/>
      <w:sz w:val="21"/>
      <w:lang w:val="en-US" w:eastAsia="zh-CN" w:bidi="ar-SA"/>
    </w:rPr>
  </w:style>
  <w:style w:type="paragraph" w:styleId="894" w:customStyle="1">
    <w:name w:val="正文文本1"/>
    <w:basedOn w:val="870"/>
    <w:next w:val="891"/>
    <w:uiPriority w:val="0"/>
    <w:qFormat/>
    <w:pPr>
      <w:spacing w:after="120"/>
    </w:pPr>
  </w:style>
  <w:style w:type="paragraph" w:styleId="895" w:customStyle="1">
    <w:name w:val="Default"/>
    <w:basedOn w:val="870"/>
    <w:uiPriority w:val="0"/>
    <w:semiHidden/>
    <w:qFormat/>
    <w:pPr>
      <w:jc w:val="left"/>
    </w:pPr>
    <w:rPr>
      <w:rFonts w:ascii="宋体" w:hAnsi="Calibri" w:cs="宋体"/>
      <w:color w:val="000000"/>
      <w:sz w:val="24"/>
    </w:rPr>
  </w:style>
  <w:style w:type="character" w:styleId="896" w:customStyle="1">
    <w:name w:val="页眉 Char"/>
    <w:basedOn w:val="873"/>
    <w:link w:val="885"/>
    <w:uiPriority w:val="0"/>
    <w:qFormat/>
    <w:rPr>
      <w:rFonts w:asciiTheme="minorHAnsi" w:hAnsiTheme="minorHAnsi" w:eastAsiaTheme="minorEastAsia" w:cstheme="minorBidi"/>
      <w:sz w:val="18"/>
      <w:szCs w:val="18"/>
    </w:rPr>
  </w:style>
  <w:style w:type="character" w:styleId="897" w:customStyle="1">
    <w:name w:val="页脚 Char"/>
    <w:basedOn w:val="873"/>
    <w:link w:val="884"/>
    <w:uiPriority w:val="0"/>
    <w:qFormat/>
    <w:rPr>
      <w:rFonts w:asciiTheme="minorHAnsi" w:hAnsiTheme="minorHAnsi" w:eastAsiaTheme="minorEastAsia" w:cstheme="minorBidi"/>
      <w:sz w:val="18"/>
      <w:szCs w:val="18"/>
    </w:rPr>
  </w:style>
  <w:style w:type="paragraph" w:styleId="898" w:customStyle="1">
    <w:name w:val="普通正文"/>
    <w:basedOn w:val="870"/>
    <w:uiPriority w:val="0"/>
    <w:qFormat/>
    <w:pPr>
      <w:ind w:firstLine="480"/>
      <w:jc w:val="left"/>
      <w:spacing w:before="120" w:after="120" w:line="360" w:lineRule="auto"/>
    </w:pPr>
    <w:rPr>
      <w:rFonts w:ascii="Arial" w:hAnsi="Arial" w:eastAsia="等线" w:cs="Arial"/>
      <w:sz w:val="24"/>
      <w:szCs w:val="24"/>
    </w:rPr>
  </w:style>
  <w:style w:type="paragraph" w:styleId="899" w:customStyle="1">
    <w:name w:val="正文首行缩进 21"/>
    <w:basedOn w:val="889"/>
    <w:uiPriority w:val="0"/>
    <w:qFormat/>
    <w:pPr>
      <w:ind w:firstLine="420"/>
    </w:pPr>
  </w:style>
  <w:style w:type="paragraph" w:styleId="900" w:customStyle="1">
    <w:name w:val="正文文本缩进1"/>
    <w:basedOn w:val="870"/>
    <w:uiPriority w:val="0"/>
    <w:qFormat/>
    <w:pPr>
      <w:ind w:left="420"/>
      <w:spacing w:after="120"/>
    </w:pPr>
  </w:style>
  <w:style w:type="paragraph" w:styleId="901" w:customStyle="1">
    <w:name w:val="List Paragraph1"/>
    <w:basedOn w:val="870"/>
    <w:uiPriority w:val="99"/>
    <w:unhideWhenUsed/>
    <w:qFormat/>
    <w:pPr>
      <w:ind w:firstLine="420"/>
    </w:pPr>
  </w:style>
  <w:style w:type="paragraph" w:styleId="902" w:customStyle="1">
    <w:name w:val="列出段落1"/>
    <w:basedOn w:val="870"/>
    <w:uiPriority w:val="0"/>
    <w:qFormat/>
    <w:pPr>
      <w:ind w:firstLine="420"/>
    </w:pPr>
    <w:rPr>
      <w:sz w:val="24"/>
    </w:rPr>
  </w:style>
  <w:style w:type="paragraph" w:styleId="903" w:customStyle="1">
    <w:name w:val="p0"/>
    <w:basedOn w:val="870"/>
    <w:uiPriority w:val="0"/>
    <w:qFormat/>
    <w:pPr>
      <w:spacing w:line="240" w:lineRule="auto"/>
      <w:widowControl/>
    </w:pPr>
    <w:rPr>
      <w:rFonts w:ascii="Times New Roman" w:eastAsia="宋体"/>
      <w:sz w:val="21"/>
    </w:rPr>
  </w:style>
  <w:style w:type="paragraph" w:styleId="904" w:customStyle="1">
    <w:name w:val="普通(网站)1"/>
    <w:basedOn w:val="870"/>
    <w:uiPriority w:val="0"/>
    <w:qFormat/>
    <w:rPr>
      <w:rFonts w:ascii="Times New Roman"/>
      <w:szCs w:val="24"/>
    </w:rPr>
  </w:style>
  <w:style w:type="paragraph" w:styleId="905" w:customStyle="1">
    <w:name w:val="标题 21"/>
    <w:basedOn w:val="870"/>
    <w:next w:val="870"/>
    <w:uiPriority w:val="0"/>
    <w:qFormat/>
    <w:pPr>
      <w:jc w:val="center"/>
      <w:keepLines/>
      <w:keepNext/>
      <w:spacing w:before="260" w:after="260" w:line="416" w:lineRule="auto"/>
      <w:outlineLvl w:val="1"/>
    </w:pPr>
    <w:rPr>
      <w:rFonts w:ascii="Arial" w:hAnsi="Arial" w:eastAsia="幼圆"/>
      <w:b/>
      <w:sz w:val="44"/>
      <w:szCs w:val="20"/>
    </w:rPr>
  </w:style>
  <w:style w:type="paragraph" w:styleId="906" w:customStyle="1">
    <w:name w:val="正文空2格  1."/>
    <w:basedOn w:val="870"/>
    <w:uiPriority w:val="0"/>
    <w:qFormat/>
    <w:pPr>
      <w:ind w:firstLine="480"/>
    </w:pPr>
    <w:rPr>
      <w:rFonts w:cs="宋体"/>
      <w:szCs w:val="20"/>
    </w:rPr>
  </w:style>
  <w:style w:type="character" w:styleId="907" w:customStyle="1">
    <w:name w:val="标题 2 Char"/>
    <w:link w:val="872"/>
    <w:uiPriority w:val="0"/>
    <w:qFormat/>
    <w:rPr>
      <w:rFonts w:hint="eastAsia" w:ascii="宋体" w:hAnsi="宋体" w:eastAsia="宋体" w:cs="宋体"/>
      <w:b/>
      <w:bCs/>
      <w:sz w:val="36"/>
      <w:szCs w:val="36"/>
      <w:lang w:val="en-US" w:eastAsia="zh-CN" w:bidi="ar"/>
    </w:rPr>
  </w:style>
  <w:style w:type="numbering" w:styleId="9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王飞</cp:lastModifiedBy>
  <cp:revision>193</cp:revision>
  <dcterms:created xsi:type="dcterms:W3CDTF">2014-10-29T12:08:00Z</dcterms:created>
  <dcterms:modified xsi:type="dcterms:W3CDTF">2026-01-16T07:56:29Z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0F71097340BD4085A6AA1BA3E821F9AB_13</vt:lpwstr>
  </property>
  <property fmtid="{D5CDD505-2E9C-101B-9397-08002B2CF9AE}" pid="4" name="KSOTemplateDocerSaveRecord">
    <vt:lpwstr>eyJoZGlkIjoiZDkyNThhYmYyMjEzY2Q0MWNmZTkxNDE3ZTA3YWJjZGUiLCJ1c2VySWQiOiIyMzcxNTE0ODAifQ==</vt:lpwstr>
  </property>
</Properties>
</file>